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1CF29040"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w:t>
            </w:r>
            <w:r w:rsidR="003F7F75">
              <w:rPr>
                <w:rFonts w:ascii="Arial"/>
                <w:sz w:val="24"/>
              </w:rPr>
              <w:t xml:space="preserve"> Projects Director</w:t>
            </w:r>
          </w:p>
        </w:tc>
        <w:tc>
          <w:tcPr>
            <w:tcW w:w="4642" w:type="dxa"/>
          </w:tcPr>
          <w:p w14:paraId="2CEDDE19" w14:textId="27427743" w:rsidR="0082498B" w:rsidRDefault="009750CE" w:rsidP="009750CE">
            <w:pPr>
              <w:pStyle w:val="TableParagraph"/>
              <w:spacing w:before="115"/>
              <w:ind w:left="1929"/>
              <w:rPr>
                <w:rFonts w:ascii="Arial"/>
                <w:sz w:val="24"/>
              </w:rPr>
            </w:pPr>
            <w:r>
              <w:rPr>
                <w:rFonts w:ascii="Arial"/>
                <w:sz w:val="24"/>
              </w:rPr>
              <w:t>23</w:t>
            </w:r>
            <w:r w:rsidRPr="009750CE">
              <w:rPr>
                <w:rFonts w:ascii="Arial"/>
                <w:sz w:val="24"/>
                <w:vertAlign w:val="superscript"/>
              </w:rPr>
              <w:t>rd</w:t>
            </w:r>
            <w:r>
              <w:rPr>
                <w:rFonts w:ascii="Arial"/>
                <w:sz w:val="24"/>
              </w:rPr>
              <w:t xml:space="preserve"> September </w:t>
            </w:r>
            <w:r w:rsidR="00053B29">
              <w:rPr>
                <w:rFonts w:ascii="Arial"/>
                <w:spacing w:val="-2"/>
                <w:sz w:val="24"/>
              </w:rPr>
              <w:t xml:space="preserve"> </w:t>
            </w:r>
            <w:r w:rsidR="00053B29">
              <w:rPr>
                <w:rFonts w:ascii="Arial"/>
                <w:sz w:val="24"/>
              </w:rPr>
              <w:t>202</w:t>
            </w:r>
            <w:r w:rsidR="00057DE8">
              <w:rPr>
                <w:rFonts w:ascii="Arial"/>
                <w:sz w:val="24"/>
              </w:rPr>
              <w:t>2</w:t>
            </w:r>
          </w:p>
        </w:tc>
      </w:tr>
      <w:tr w:rsidR="0082498B" w14:paraId="542252ED" w14:textId="77777777" w:rsidTr="003145CD">
        <w:trPr>
          <w:trHeight w:val="572"/>
        </w:trPr>
        <w:tc>
          <w:tcPr>
            <w:tcW w:w="6287" w:type="dxa"/>
            <w:tcBorders>
              <w:bottom w:val="single" w:sz="4" w:space="0" w:color="000000"/>
            </w:tcBorders>
          </w:tcPr>
          <w:p w14:paraId="6A7C8BE8" w14:textId="0F45D610" w:rsidR="0082498B" w:rsidRDefault="00053B29">
            <w:pPr>
              <w:pStyle w:val="TableParagraph"/>
              <w:spacing w:before="116"/>
              <w:ind w:left="112"/>
              <w:rPr>
                <w:rFonts w:ascii="Arial"/>
                <w:b/>
                <w:sz w:val="24"/>
              </w:rPr>
            </w:pPr>
            <w:r>
              <w:rPr>
                <w:rFonts w:ascii="Arial"/>
                <w:b/>
                <w:sz w:val="24"/>
              </w:rPr>
              <w:t>Projects</w:t>
            </w:r>
            <w:r>
              <w:rPr>
                <w:rFonts w:ascii="Arial"/>
                <w:b/>
                <w:spacing w:val="-5"/>
                <w:sz w:val="24"/>
              </w:rPr>
              <w:t xml:space="preserve"> </w:t>
            </w:r>
            <w:r w:rsidR="003F7F75">
              <w:rPr>
                <w:rFonts w:ascii="Arial"/>
                <w:b/>
                <w:spacing w:val="-5"/>
                <w:sz w:val="24"/>
              </w:rPr>
              <w:t xml:space="preserve">and Circular Economy </w:t>
            </w:r>
            <w:r>
              <w:rPr>
                <w:rFonts w:ascii="Arial"/>
                <w:b/>
                <w:sz w:val="24"/>
              </w:rPr>
              <w:t>Update</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48EE6FAF" w14:textId="5624F343" w:rsidR="0082498B" w:rsidRPr="003828A1" w:rsidRDefault="003828A1" w:rsidP="003828A1">
            <w:pPr>
              <w:tabs>
                <w:tab w:val="left" w:pos="507"/>
              </w:tabs>
              <w:spacing w:before="93"/>
              <w:ind w:right="222"/>
              <w:rPr>
                <w:sz w:val="24"/>
              </w:rPr>
            </w:pPr>
            <w:r>
              <w:rPr>
                <w:sz w:val="24"/>
              </w:rPr>
              <w:tab/>
            </w:r>
            <w:r w:rsidR="00053B29" w:rsidRPr="003828A1">
              <w:rPr>
                <w:sz w:val="24"/>
              </w:rPr>
              <w:t>This report provides</w:t>
            </w:r>
            <w:r w:rsidRPr="003828A1">
              <w:rPr>
                <w:sz w:val="24"/>
              </w:rPr>
              <w:t xml:space="preserve"> </w:t>
            </w:r>
            <w:r>
              <w:rPr>
                <w:sz w:val="24"/>
              </w:rPr>
              <w:t>an update on the WLWA projects.</w:t>
            </w:r>
          </w:p>
          <w:p w14:paraId="40880BC5" w14:textId="4FD56772" w:rsidR="003145CD" w:rsidRDefault="003145CD">
            <w:pPr>
              <w:pStyle w:val="TableParagraph"/>
              <w:spacing w:before="120"/>
              <w:ind w:left="107"/>
              <w:rPr>
                <w:rFonts w:ascii="Arial" w:hAnsi="Arial"/>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3145CD">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2FA5EA42" w14:textId="77777777" w:rsidR="0082498B" w:rsidRDefault="0082498B">
            <w:pPr>
              <w:pStyle w:val="TableParagraph"/>
              <w:spacing w:before="11"/>
              <w:rPr>
                <w:rFonts w:ascii="Times New Roman"/>
                <w:sz w:val="20"/>
              </w:rPr>
            </w:pPr>
          </w:p>
          <w:p w14:paraId="0B18A7B1" w14:textId="77777777" w:rsidR="0082498B" w:rsidRDefault="00053B29">
            <w:pPr>
              <w:pStyle w:val="TableParagraph"/>
              <w:numPr>
                <w:ilvl w:val="0"/>
                <w:numId w:val="5"/>
              </w:numPr>
              <w:tabs>
                <w:tab w:val="left" w:pos="829"/>
              </w:tabs>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Pr>
                <w:rFonts w:ascii="Arial"/>
                <w:i/>
                <w:sz w:val="24"/>
              </w:rPr>
              <w:t>the</w:t>
            </w:r>
            <w:r>
              <w:rPr>
                <w:rFonts w:ascii="Arial"/>
                <w:i/>
                <w:spacing w:val="1"/>
                <w:sz w:val="24"/>
              </w:rPr>
              <w:t xml:space="preserve"> </w:t>
            </w:r>
            <w:r>
              <w:rPr>
                <w:rFonts w:ascii="Arial"/>
                <w:i/>
                <w:sz w:val="24"/>
              </w:rPr>
              <w:t>information</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tc>
      </w:tr>
    </w:tbl>
    <w:p w14:paraId="4F3E442D" w14:textId="77777777" w:rsidR="0082498B" w:rsidRDefault="0082498B">
      <w:pPr>
        <w:pStyle w:val="BodyText"/>
        <w:spacing w:before="5"/>
        <w:rPr>
          <w:rFonts w:ascii="Times New Roman"/>
          <w:sz w:val="13"/>
        </w:rPr>
      </w:pPr>
    </w:p>
    <w:p w14:paraId="33D565C6" w14:textId="3F5132AB" w:rsidR="0082498B" w:rsidRPr="001B72B7" w:rsidRDefault="00E0665A" w:rsidP="00FD0E69">
      <w:pPr>
        <w:pStyle w:val="ListParagraph"/>
        <w:numPr>
          <w:ilvl w:val="0"/>
          <w:numId w:val="4"/>
        </w:numPr>
        <w:tabs>
          <w:tab w:val="left" w:pos="507"/>
        </w:tabs>
        <w:spacing w:before="93"/>
        <w:ind w:right="222" w:hanging="171"/>
        <w:rPr>
          <w:sz w:val="24"/>
        </w:rPr>
      </w:pPr>
      <w:r>
        <w:rPr>
          <w:b/>
          <w:sz w:val="24"/>
        </w:rPr>
        <w:t>Introduction</w:t>
      </w:r>
    </w:p>
    <w:p w14:paraId="76DBDB38" w14:textId="6F92F13C" w:rsidR="00087CF9" w:rsidRPr="00660612" w:rsidRDefault="00053B29" w:rsidP="00E90694">
      <w:pPr>
        <w:pStyle w:val="ListParagraph"/>
        <w:tabs>
          <w:tab w:val="left" w:pos="507"/>
        </w:tabs>
        <w:spacing w:before="93"/>
        <w:ind w:left="360" w:right="222" w:firstLine="0"/>
        <w:rPr>
          <w:sz w:val="24"/>
        </w:rPr>
      </w:pPr>
      <w:r w:rsidRPr="00660612">
        <w:rPr>
          <w:sz w:val="24"/>
        </w:rPr>
        <w:t xml:space="preserve">This report covers the main project updates with governance of the wider programme managed through the WLWA senior </w:t>
      </w:r>
      <w:r w:rsidR="00E0665A">
        <w:rPr>
          <w:sz w:val="24"/>
        </w:rPr>
        <w:t>leadership</w:t>
      </w:r>
      <w:r w:rsidRPr="00660612">
        <w:rPr>
          <w:sz w:val="24"/>
        </w:rPr>
        <w:t xml:space="preserve"> team.</w:t>
      </w:r>
      <w:r w:rsidR="00087CF9" w:rsidRPr="00660612">
        <w:rPr>
          <w:sz w:val="24"/>
        </w:rPr>
        <w:t xml:space="preserve"> </w:t>
      </w:r>
    </w:p>
    <w:p w14:paraId="259A445E" w14:textId="2A3D85B8" w:rsidR="00087CF9" w:rsidRPr="00660612" w:rsidRDefault="00087CF9" w:rsidP="00660612">
      <w:pPr>
        <w:pStyle w:val="ListParagraph"/>
        <w:tabs>
          <w:tab w:val="left" w:pos="507"/>
        </w:tabs>
        <w:spacing w:before="93"/>
        <w:ind w:left="360" w:right="222" w:firstLine="0"/>
        <w:rPr>
          <w:sz w:val="24"/>
        </w:rPr>
      </w:pPr>
    </w:p>
    <w:p w14:paraId="153FA6D5" w14:textId="579647B6" w:rsidR="00087CF9" w:rsidRPr="001B72B7" w:rsidRDefault="00087CF9" w:rsidP="00087CF9">
      <w:pPr>
        <w:pStyle w:val="ListParagraph"/>
        <w:numPr>
          <w:ilvl w:val="0"/>
          <w:numId w:val="4"/>
        </w:numPr>
        <w:tabs>
          <w:tab w:val="left" w:pos="507"/>
        </w:tabs>
        <w:spacing w:before="93"/>
        <w:ind w:right="222" w:hanging="171"/>
        <w:rPr>
          <w:sz w:val="24"/>
        </w:rPr>
      </w:pPr>
      <w:r w:rsidRPr="00087CF9">
        <w:rPr>
          <w:b/>
          <w:sz w:val="24"/>
        </w:rPr>
        <w:t xml:space="preserve">Project </w:t>
      </w:r>
      <w:r w:rsidR="001B72B7">
        <w:rPr>
          <w:b/>
          <w:sz w:val="24"/>
        </w:rPr>
        <w:t>D</w:t>
      </w:r>
      <w:r w:rsidRPr="00087CF9">
        <w:rPr>
          <w:b/>
          <w:sz w:val="24"/>
        </w:rPr>
        <w:t>evelopment</w:t>
      </w:r>
    </w:p>
    <w:p w14:paraId="70F5BCEF" w14:textId="77E56D5C" w:rsidR="00E0665A" w:rsidRDefault="001B72B7" w:rsidP="00E0665A">
      <w:pPr>
        <w:pStyle w:val="ListParagraph"/>
        <w:tabs>
          <w:tab w:val="left" w:pos="507"/>
        </w:tabs>
        <w:spacing w:before="93"/>
        <w:ind w:right="222"/>
        <w:rPr>
          <w:bCs/>
          <w:sz w:val="24"/>
        </w:rPr>
      </w:pPr>
      <w:r>
        <w:rPr>
          <w:bCs/>
          <w:sz w:val="24"/>
        </w:rPr>
        <w:tab/>
      </w:r>
      <w:r w:rsidR="00087CF9">
        <w:rPr>
          <w:bCs/>
          <w:sz w:val="24"/>
        </w:rPr>
        <w:t>The delivery of the programme has been split into six key areas</w:t>
      </w:r>
      <w:r w:rsidR="00E0665A">
        <w:rPr>
          <w:bCs/>
          <w:sz w:val="24"/>
        </w:rPr>
        <w:t xml:space="preserve"> (Data Management, </w:t>
      </w:r>
      <w:r w:rsidR="00E0665A" w:rsidRPr="00E0665A">
        <w:rPr>
          <w:bCs/>
          <w:sz w:val="24"/>
        </w:rPr>
        <w:t>Smart Cities</w:t>
      </w:r>
      <w:r w:rsidR="00E0665A">
        <w:rPr>
          <w:bCs/>
          <w:sz w:val="24"/>
        </w:rPr>
        <w:t xml:space="preserve">, </w:t>
      </w:r>
      <w:r w:rsidR="00E0665A" w:rsidRPr="00E0665A">
        <w:rPr>
          <w:bCs/>
          <w:sz w:val="24"/>
        </w:rPr>
        <w:t>HRRC transformation</w:t>
      </w:r>
      <w:r w:rsidR="00E0665A">
        <w:rPr>
          <w:bCs/>
          <w:sz w:val="24"/>
        </w:rPr>
        <w:t xml:space="preserve">, </w:t>
      </w:r>
      <w:r w:rsidR="00E0665A" w:rsidRPr="00E0665A">
        <w:rPr>
          <w:bCs/>
          <w:sz w:val="24"/>
        </w:rPr>
        <w:t>Food Waste</w:t>
      </w:r>
      <w:r w:rsidR="00E0665A">
        <w:rPr>
          <w:bCs/>
          <w:sz w:val="24"/>
        </w:rPr>
        <w:t xml:space="preserve">, </w:t>
      </w:r>
      <w:r w:rsidR="00E0665A" w:rsidRPr="00E0665A">
        <w:rPr>
          <w:bCs/>
          <w:sz w:val="24"/>
        </w:rPr>
        <w:t>Shared EPR funding plan</w:t>
      </w:r>
      <w:r w:rsidR="00E0665A">
        <w:rPr>
          <w:bCs/>
          <w:sz w:val="24"/>
        </w:rPr>
        <w:t xml:space="preserve">, </w:t>
      </w:r>
      <w:r w:rsidR="00E0665A" w:rsidRPr="00E0665A">
        <w:rPr>
          <w:bCs/>
          <w:sz w:val="24"/>
        </w:rPr>
        <w:t>Double Recycling infrastructure</w:t>
      </w:r>
      <w:r w:rsidR="00E0665A">
        <w:rPr>
          <w:bCs/>
          <w:sz w:val="24"/>
        </w:rPr>
        <w:t>)</w:t>
      </w:r>
      <w:r w:rsidR="00087CF9">
        <w:rPr>
          <w:bCs/>
          <w:sz w:val="24"/>
        </w:rPr>
        <w:t xml:space="preserve"> each with an Environment Director and Member lead</w:t>
      </w:r>
      <w:r w:rsidR="00E0665A">
        <w:rPr>
          <w:bCs/>
          <w:sz w:val="24"/>
        </w:rPr>
        <w:t xml:space="preserve">.  </w:t>
      </w:r>
      <w:r w:rsidR="00087CF9">
        <w:rPr>
          <w:bCs/>
          <w:sz w:val="24"/>
        </w:rPr>
        <w:t>Policies</w:t>
      </w:r>
      <w:r w:rsidR="00346AE7">
        <w:rPr>
          <w:bCs/>
          <w:sz w:val="24"/>
        </w:rPr>
        <w:t xml:space="preserve"> were agreed in March 2022</w:t>
      </w:r>
      <w:r w:rsidR="00087CF9">
        <w:rPr>
          <w:bCs/>
          <w:sz w:val="24"/>
        </w:rPr>
        <w:t xml:space="preserve"> and strategy on a page documents</w:t>
      </w:r>
      <w:r w:rsidR="004E048A">
        <w:rPr>
          <w:bCs/>
          <w:sz w:val="24"/>
        </w:rPr>
        <w:t xml:space="preserve"> are being jointly developed in order to deliver a unified approach to whole system change. </w:t>
      </w:r>
    </w:p>
    <w:p w14:paraId="645C96DF" w14:textId="7E0C7206" w:rsidR="0062559A" w:rsidRPr="006B0B6D" w:rsidRDefault="0062559A" w:rsidP="006B0B6D">
      <w:pPr>
        <w:tabs>
          <w:tab w:val="left" w:pos="507"/>
        </w:tabs>
        <w:spacing w:before="121"/>
        <w:ind w:right="222"/>
        <w:rPr>
          <w:b/>
          <w:bCs/>
          <w:sz w:val="24"/>
          <w:szCs w:val="24"/>
        </w:rPr>
      </w:pPr>
    </w:p>
    <w:p w14:paraId="49473C39" w14:textId="63E6C70C" w:rsidR="00CF27DF" w:rsidRPr="001B72B7" w:rsidRDefault="00CF27DF" w:rsidP="00CF27DF">
      <w:pPr>
        <w:pStyle w:val="ListParagraph"/>
        <w:tabs>
          <w:tab w:val="left" w:pos="507"/>
        </w:tabs>
        <w:spacing w:before="121"/>
        <w:ind w:left="360" w:right="222" w:firstLine="0"/>
        <w:jc w:val="left"/>
        <w:rPr>
          <w:bCs/>
          <w:sz w:val="24"/>
          <w:szCs w:val="24"/>
        </w:rPr>
      </w:pPr>
      <w:r w:rsidRPr="001B72B7">
        <w:rPr>
          <w:bCs/>
          <w:sz w:val="24"/>
          <w:szCs w:val="24"/>
        </w:rPr>
        <w:t>2.</w:t>
      </w:r>
      <w:r w:rsidR="009750CE">
        <w:rPr>
          <w:bCs/>
          <w:sz w:val="24"/>
          <w:szCs w:val="24"/>
        </w:rPr>
        <w:t>1</w:t>
      </w:r>
      <w:r w:rsidRPr="001B72B7">
        <w:rPr>
          <w:bCs/>
          <w:sz w:val="24"/>
          <w:szCs w:val="24"/>
        </w:rPr>
        <w:t xml:space="preserve"> </w:t>
      </w:r>
      <w:r>
        <w:rPr>
          <w:b/>
          <w:bCs/>
          <w:sz w:val="24"/>
          <w:szCs w:val="24"/>
        </w:rPr>
        <w:t>Waste Composition Analysis</w:t>
      </w:r>
      <w:r w:rsidR="004C3F2E">
        <w:rPr>
          <w:b/>
          <w:bCs/>
          <w:sz w:val="24"/>
          <w:szCs w:val="24"/>
        </w:rPr>
        <w:t xml:space="preserve"> </w:t>
      </w:r>
      <w:r w:rsidR="004C3F2E" w:rsidRPr="009E72DB">
        <w:rPr>
          <w:sz w:val="24"/>
          <w:szCs w:val="24"/>
        </w:rPr>
        <w:t>(contribute to KPI</w:t>
      </w:r>
      <w:r w:rsidR="004C3F2E">
        <w:rPr>
          <w:sz w:val="24"/>
          <w:szCs w:val="24"/>
        </w:rPr>
        <w:t>’s</w:t>
      </w:r>
      <w:r w:rsidR="004C3F2E" w:rsidRPr="009E72DB">
        <w:rPr>
          <w:sz w:val="24"/>
          <w:szCs w:val="24"/>
        </w:rPr>
        <w:t xml:space="preserve"> 5 </w:t>
      </w:r>
      <w:r w:rsidR="004C3F2E">
        <w:rPr>
          <w:sz w:val="24"/>
          <w:szCs w:val="24"/>
        </w:rPr>
        <w:t>6 &amp; 7</w:t>
      </w:r>
      <w:r w:rsidR="004C3F2E" w:rsidRPr="009E72DB">
        <w:rPr>
          <w:sz w:val="24"/>
          <w:szCs w:val="24"/>
        </w:rPr>
        <w:t>)</w:t>
      </w:r>
    </w:p>
    <w:p w14:paraId="4CDE2874" w14:textId="2F33C912" w:rsidR="00CF27DF" w:rsidRDefault="00CF27DF" w:rsidP="00CF27DF">
      <w:pPr>
        <w:pStyle w:val="ListParagraph"/>
        <w:tabs>
          <w:tab w:val="left" w:pos="507"/>
        </w:tabs>
        <w:spacing w:before="121"/>
        <w:ind w:left="720" w:right="222" w:firstLine="0"/>
        <w:jc w:val="left"/>
        <w:rPr>
          <w:bCs/>
          <w:sz w:val="24"/>
          <w:szCs w:val="24"/>
        </w:rPr>
      </w:pPr>
      <w:r w:rsidRPr="001B72B7">
        <w:rPr>
          <w:bCs/>
          <w:sz w:val="24"/>
          <w:szCs w:val="24"/>
        </w:rPr>
        <w:t xml:space="preserve">The </w:t>
      </w:r>
      <w:r>
        <w:rPr>
          <w:bCs/>
          <w:sz w:val="24"/>
          <w:szCs w:val="24"/>
        </w:rPr>
        <w:t xml:space="preserve">2022 </w:t>
      </w:r>
      <w:r w:rsidRPr="001B72B7">
        <w:rPr>
          <w:bCs/>
          <w:sz w:val="24"/>
          <w:szCs w:val="24"/>
        </w:rPr>
        <w:t>waste composition analysis</w:t>
      </w:r>
      <w:r w:rsidR="00346AE7">
        <w:rPr>
          <w:bCs/>
          <w:sz w:val="24"/>
          <w:szCs w:val="24"/>
        </w:rPr>
        <w:t xml:space="preserve"> (WCA)</w:t>
      </w:r>
      <w:r w:rsidRPr="001B72B7">
        <w:rPr>
          <w:bCs/>
          <w:sz w:val="24"/>
          <w:szCs w:val="24"/>
        </w:rPr>
        <w:t xml:space="preserve"> </w:t>
      </w:r>
      <w:r>
        <w:rPr>
          <w:bCs/>
          <w:sz w:val="24"/>
          <w:szCs w:val="24"/>
        </w:rPr>
        <w:t xml:space="preserve">has been awarded to Integrated Skills Ltd (ISL), the company that conducted WCA last year. </w:t>
      </w:r>
      <w:r w:rsidR="00346AE7">
        <w:rPr>
          <w:bCs/>
          <w:sz w:val="24"/>
          <w:szCs w:val="24"/>
        </w:rPr>
        <w:t>T</w:t>
      </w:r>
      <w:r>
        <w:rPr>
          <w:bCs/>
          <w:sz w:val="24"/>
          <w:szCs w:val="24"/>
        </w:rPr>
        <w:t>he sample selections and detailed scheduling of the work</w:t>
      </w:r>
      <w:r w:rsidR="00346AE7">
        <w:rPr>
          <w:bCs/>
          <w:sz w:val="24"/>
          <w:szCs w:val="24"/>
        </w:rPr>
        <w:t xml:space="preserve"> are currently being finalised</w:t>
      </w:r>
      <w:r>
        <w:rPr>
          <w:bCs/>
          <w:sz w:val="24"/>
          <w:szCs w:val="24"/>
        </w:rPr>
        <w:t>. The sampling of the residual waste will take place towards the end of September and we anticipate the results to be finalised and shared in October / November. ISL will also revisit the data from WCA in 2020 and re-evaluate using the same methodology so that we can establish a consistent dataset</w:t>
      </w:r>
      <w:r w:rsidR="00323EB4">
        <w:rPr>
          <w:bCs/>
          <w:sz w:val="24"/>
          <w:szCs w:val="24"/>
        </w:rPr>
        <w:t>.</w:t>
      </w:r>
    </w:p>
    <w:p w14:paraId="01C2CA81" w14:textId="2482290E" w:rsidR="00CF27DF" w:rsidRDefault="00767C1A" w:rsidP="00CF27DF">
      <w:pPr>
        <w:pStyle w:val="Subtitle"/>
      </w:pPr>
      <w:r>
        <w:rPr>
          <w:rFonts w:ascii="Times New Roman" w:hAnsi="Times New Roman" w:cs="Times New Roman"/>
          <w:noProof/>
          <w:sz w:val="24"/>
          <w:szCs w:val="24"/>
          <w:lang w:eastAsia="en-GB"/>
        </w:rPr>
        <w:drawing>
          <wp:anchor distT="0" distB="0" distL="114300" distR="114300" simplePos="0" relativeHeight="251657216" behindDoc="0" locked="0" layoutInCell="1" allowOverlap="1" wp14:anchorId="7FED0CC3" wp14:editId="6E3938FE">
            <wp:simplePos x="0" y="0"/>
            <wp:positionH relativeFrom="page">
              <wp:posOffset>5688965</wp:posOffset>
            </wp:positionH>
            <wp:positionV relativeFrom="paragraph">
              <wp:posOffset>234950</wp:posOffset>
            </wp:positionV>
            <wp:extent cx="1472565" cy="2265680"/>
            <wp:effectExtent l="0" t="0" r="0" b="1270"/>
            <wp:wrapSquare wrapText="bothSides"/>
            <wp:docPr id="3" name="Picture 3" descr="A picture containing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ee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565" cy="2265680"/>
                    </a:xfrm>
                    <a:prstGeom prst="rect">
                      <a:avLst/>
                    </a:prstGeom>
                    <a:noFill/>
                  </pic:spPr>
                </pic:pic>
              </a:graphicData>
            </a:graphic>
            <wp14:sizeRelH relativeFrom="page">
              <wp14:pctWidth>0</wp14:pctWidth>
            </wp14:sizeRelH>
            <wp14:sizeRelV relativeFrom="page">
              <wp14:pctHeight>0</wp14:pctHeight>
            </wp14:sizeRelV>
          </wp:anchor>
        </w:drawing>
      </w:r>
    </w:p>
    <w:p w14:paraId="320FAE95" w14:textId="3007204C" w:rsidR="00EE6AEE" w:rsidRPr="006B0B6D" w:rsidRDefault="00EE6AEE" w:rsidP="006B0B6D">
      <w:pPr>
        <w:pStyle w:val="ListParagraph"/>
        <w:tabs>
          <w:tab w:val="left" w:pos="507"/>
        </w:tabs>
        <w:spacing w:before="121"/>
        <w:ind w:left="360" w:right="222" w:firstLine="0"/>
        <w:jc w:val="left"/>
        <w:rPr>
          <w:b/>
          <w:bCs/>
          <w:sz w:val="24"/>
          <w:szCs w:val="24"/>
        </w:rPr>
      </w:pPr>
      <w:r w:rsidRPr="00EE6AEE">
        <w:rPr>
          <w:bCs/>
          <w:sz w:val="24"/>
          <w:szCs w:val="24"/>
        </w:rPr>
        <w:t>2.</w:t>
      </w:r>
      <w:r w:rsidR="009750CE">
        <w:rPr>
          <w:bCs/>
          <w:sz w:val="24"/>
          <w:szCs w:val="24"/>
        </w:rPr>
        <w:t>2</w:t>
      </w:r>
      <w:r w:rsidRPr="00EE6AEE">
        <w:rPr>
          <w:bCs/>
          <w:sz w:val="24"/>
          <w:szCs w:val="24"/>
        </w:rPr>
        <w:t xml:space="preserve"> </w:t>
      </w:r>
      <w:r w:rsidRPr="00EE6AEE">
        <w:rPr>
          <w:b/>
          <w:bCs/>
          <w:sz w:val="24"/>
          <w:szCs w:val="24"/>
        </w:rPr>
        <w:t>Bin Wash &amp; Swap Station at Transport Avenue</w:t>
      </w:r>
      <w:r w:rsidR="004C3F2E">
        <w:rPr>
          <w:b/>
          <w:bCs/>
          <w:sz w:val="24"/>
          <w:szCs w:val="24"/>
        </w:rPr>
        <w:t xml:space="preserve"> </w:t>
      </w:r>
      <w:r w:rsidR="004C3F2E" w:rsidRPr="009E72DB">
        <w:rPr>
          <w:sz w:val="24"/>
          <w:szCs w:val="24"/>
        </w:rPr>
        <w:t>(contribute to KPI</w:t>
      </w:r>
      <w:r w:rsidR="004C3F2E">
        <w:rPr>
          <w:sz w:val="24"/>
          <w:szCs w:val="24"/>
        </w:rPr>
        <w:t>’s</w:t>
      </w:r>
      <w:r w:rsidR="004C3F2E" w:rsidRPr="009E72DB">
        <w:rPr>
          <w:sz w:val="24"/>
          <w:szCs w:val="24"/>
        </w:rPr>
        <w:t xml:space="preserve"> 5 </w:t>
      </w:r>
      <w:r w:rsidR="004C3F2E">
        <w:rPr>
          <w:sz w:val="24"/>
          <w:szCs w:val="24"/>
        </w:rPr>
        <w:t>6 &amp; 7</w:t>
      </w:r>
      <w:r w:rsidR="004C3F2E" w:rsidRPr="009E72DB">
        <w:rPr>
          <w:sz w:val="24"/>
          <w:szCs w:val="24"/>
        </w:rPr>
        <w:t>)</w:t>
      </w:r>
    </w:p>
    <w:p w14:paraId="6B61D08B" w14:textId="098F5D55" w:rsidR="00767C1A" w:rsidRPr="00767C1A" w:rsidRDefault="00767C1A" w:rsidP="00767C1A">
      <w:pPr>
        <w:pStyle w:val="ListParagraph"/>
        <w:tabs>
          <w:tab w:val="left" w:pos="507"/>
        </w:tabs>
        <w:spacing w:before="121"/>
        <w:ind w:left="720" w:right="222" w:firstLine="0"/>
        <w:jc w:val="left"/>
        <w:rPr>
          <w:bCs/>
          <w:sz w:val="24"/>
          <w:szCs w:val="24"/>
        </w:rPr>
      </w:pPr>
      <w:r>
        <w:rPr>
          <w:rFonts w:asciiTheme="minorHAnsi" w:eastAsiaTheme="minorEastAsia" w:hAnsiTheme="minorHAnsi" w:cstheme="minorBidi"/>
          <w:noProof/>
          <w:lang w:eastAsia="en-GB"/>
        </w:rPr>
        <w:drawing>
          <wp:anchor distT="0" distB="0" distL="114300" distR="114300" simplePos="0" relativeHeight="251658240" behindDoc="0" locked="0" layoutInCell="1" allowOverlap="1" wp14:anchorId="440F9E8F" wp14:editId="0078A97C">
            <wp:simplePos x="0" y="0"/>
            <wp:positionH relativeFrom="margin">
              <wp:posOffset>5378450</wp:posOffset>
            </wp:positionH>
            <wp:positionV relativeFrom="paragraph">
              <wp:posOffset>1473835</wp:posOffset>
            </wp:positionV>
            <wp:extent cx="1520190" cy="2026285"/>
            <wp:effectExtent l="0" t="0" r="3810" b="0"/>
            <wp:wrapSquare wrapText="bothSides"/>
            <wp:docPr id="2" name="Picture 2" descr="A picture containing text, mil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mill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2026285"/>
                    </a:xfrm>
                    <a:prstGeom prst="rect">
                      <a:avLst/>
                    </a:prstGeom>
                    <a:noFill/>
                  </pic:spPr>
                </pic:pic>
              </a:graphicData>
            </a:graphic>
            <wp14:sizeRelH relativeFrom="page">
              <wp14:pctWidth>0</wp14:pctWidth>
            </wp14:sizeRelH>
            <wp14:sizeRelV relativeFrom="page">
              <wp14:pctHeight>0</wp14:pctHeight>
            </wp14:sizeRelV>
          </wp:anchor>
        </w:drawing>
      </w:r>
      <w:r w:rsidRPr="00767C1A">
        <w:rPr>
          <w:bCs/>
          <w:sz w:val="24"/>
          <w:szCs w:val="24"/>
        </w:rPr>
        <w:t xml:space="preserve">During the food value stream mapping exercise boroughs identified that a food bin ‘swap &amp; wash’ collection system could increase service availability and efficiency.  Used as best practice in the commercial food waste sector, this service model overcomes </w:t>
      </w:r>
      <w:r w:rsidR="00323EB4">
        <w:rPr>
          <w:bCs/>
          <w:sz w:val="24"/>
          <w:szCs w:val="24"/>
        </w:rPr>
        <w:t>the perception of the service being dirty</w:t>
      </w:r>
      <w:r w:rsidRPr="00767C1A">
        <w:rPr>
          <w:bCs/>
          <w:sz w:val="24"/>
          <w:szCs w:val="24"/>
        </w:rPr>
        <w:t xml:space="preserve">, a significant barrier to communal property participation.  By regularly cleaning the food waste bins, it will reduce the chances of vermin </w:t>
      </w:r>
      <w:r w:rsidR="00323EB4">
        <w:rPr>
          <w:bCs/>
          <w:sz w:val="24"/>
          <w:szCs w:val="24"/>
        </w:rPr>
        <w:t>and</w:t>
      </w:r>
      <w:r w:rsidRPr="00767C1A">
        <w:rPr>
          <w:bCs/>
          <w:sz w:val="24"/>
          <w:szCs w:val="24"/>
        </w:rPr>
        <w:t xml:space="preserve"> insects being attracted to the bins, reduce smells during summer months and provide a better overall experience for residents in communal bin rooms or areas. This model will provide a template for other borough partners to expand and improve food recycling collection services in future.</w:t>
      </w:r>
    </w:p>
    <w:p w14:paraId="728E31CA" w14:textId="48871BDF" w:rsidR="003F028A" w:rsidRPr="003F028A" w:rsidRDefault="00767C1A" w:rsidP="003F028A">
      <w:pPr>
        <w:pStyle w:val="ListParagraph"/>
        <w:tabs>
          <w:tab w:val="left" w:pos="507"/>
        </w:tabs>
        <w:spacing w:before="121"/>
        <w:ind w:left="720" w:right="222" w:firstLine="0"/>
        <w:jc w:val="left"/>
        <w:rPr>
          <w:bCs/>
          <w:sz w:val="24"/>
          <w:szCs w:val="24"/>
        </w:rPr>
      </w:pPr>
      <w:r w:rsidRPr="00767C1A">
        <w:rPr>
          <w:bCs/>
          <w:sz w:val="24"/>
          <w:szCs w:val="24"/>
        </w:rPr>
        <w:t xml:space="preserve">Working with Suez, an unused section of Transport Avenue was identified for the washing area.  This equipment will be operated and serviced by Suez as part of the existing contract. </w:t>
      </w:r>
    </w:p>
    <w:p w14:paraId="485E18DD" w14:textId="5E9DE801" w:rsidR="00767C1A" w:rsidRPr="002609F8" w:rsidRDefault="00767C1A" w:rsidP="002609F8">
      <w:pPr>
        <w:tabs>
          <w:tab w:val="left" w:pos="507"/>
        </w:tabs>
        <w:spacing w:before="121"/>
        <w:ind w:right="222"/>
        <w:rPr>
          <w:bCs/>
          <w:sz w:val="24"/>
          <w:szCs w:val="24"/>
        </w:rPr>
      </w:pPr>
    </w:p>
    <w:p w14:paraId="28DF5A9B" w14:textId="09CE718F" w:rsidR="00CF27DF" w:rsidRPr="00CA5D99" w:rsidRDefault="00CF27DF" w:rsidP="00CF27DF">
      <w:pPr>
        <w:pStyle w:val="ListParagraph"/>
        <w:numPr>
          <w:ilvl w:val="0"/>
          <w:numId w:val="4"/>
        </w:numPr>
        <w:tabs>
          <w:tab w:val="left" w:pos="507"/>
        </w:tabs>
        <w:spacing w:before="121"/>
        <w:ind w:right="222" w:hanging="171"/>
        <w:jc w:val="left"/>
        <w:rPr>
          <w:b/>
          <w:sz w:val="24"/>
          <w:szCs w:val="24"/>
        </w:rPr>
      </w:pPr>
      <w:r>
        <w:rPr>
          <w:b/>
          <w:sz w:val="24"/>
          <w:szCs w:val="24"/>
        </w:rPr>
        <w:lastRenderedPageBreak/>
        <w:t xml:space="preserve">Net Zero &amp; </w:t>
      </w:r>
      <w:r w:rsidRPr="00CA5D99">
        <w:rPr>
          <w:b/>
          <w:sz w:val="24"/>
          <w:szCs w:val="24"/>
        </w:rPr>
        <w:t>Circular Economy</w:t>
      </w:r>
    </w:p>
    <w:p w14:paraId="1BA3B871" w14:textId="475ED8F8" w:rsidR="00CF27DF" w:rsidRPr="001B72B7" w:rsidRDefault="00CF27DF" w:rsidP="00CF27DF">
      <w:pPr>
        <w:pStyle w:val="ListParagraph"/>
        <w:numPr>
          <w:ilvl w:val="1"/>
          <w:numId w:val="4"/>
        </w:numPr>
        <w:tabs>
          <w:tab w:val="left" w:pos="507"/>
        </w:tabs>
        <w:spacing w:before="121"/>
        <w:ind w:right="222"/>
        <w:jc w:val="left"/>
        <w:rPr>
          <w:b/>
          <w:sz w:val="24"/>
          <w:szCs w:val="24"/>
        </w:rPr>
      </w:pPr>
      <w:r w:rsidRPr="001B72B7">
        <w:rPr>
          <w:b/>
          <w:sz w:val="24"/>
          <w:szCs w:val="24"/>
        </w:rPr>
        <w:t>Fixing Factory</w:t>
      </w:r>
      <w:r w:rsidR="009E72DB">
        <w:rPr>
          <w:b/>
          <w:sz w:val="24"/>
          <w:szCs w:val="24"/>
        </w:rPr>
        <w:t xml:space="preserve"> </w:t>
      </w:r>
      <w:r w:rsidR="009E72DB" w:rsidRPr="009E72DB">
        <w:rPr>
          <w:sz w:val="24"/>
          <w:szCs w:val="24"/>
        </w:rPr>
        <w:t>(contribute to KPI 5 &amp; 6)</w:t>
      </w:r>
    </w:p>
    <w:p w14:paraId="72E78025" w14:textId="6556402E" w:rsidR="00CF27DF" w:rsidRPr="00AD657F" w:rsidRDefault="00CF27DF" w:rsidP="00CF27DF">
      <w:pPr>
        <w:pStyle w:val="ListParagraph"/>
        <w:tabs>
          <w:tab w:val="left" w:pos="507"/>
        </w:tabs>
        <w:spacing w:before="121"/>
        <w:ind w:left="792" w:right="222"/>
        <w:jc w:val="left"/>
        <w:rPr>
          <w:sz w:val="24"/>
          <w:szCs w:val="24"/>
        </w:rPr>
      </w:pPr>
      <w:r>
        <w:rPr>
          <w:sz w:val="24"/>
          <w:szCs w:val="24"/>
        </w:rPr>
        <w:tab/>
        <w:t>T</w:t>
      </w:r>
      <w:r w:rsidRPr="00AD657F">
        <w:rPr>
          <w:sz w:val="24"/>
          <w:szCs w:val="24"/>
        </w:rPr>
        <w:t xml:space="preserve">he </w:t>
      </w:r>
      <w:hyperlink r:id="rId11" w:history="1">
        <w:r w:rsidRPr="00AD657F">
          <w:rPr>
            <w:rStyle w:val="Hyperlink"/>
            <w:sz w:val="24"/>
            <w:szCs w:val="24"/>
          </w:rPr>
          <w:t>fixing factory</w:t>
        </w:r>
      </w:hyperlink>
      <w:r w:rsidRPr="00AD657F">
        <w:rPr>
          <w:sz w:val="24"/>
          <w:szCs w:val="24"/>
        </w:rPr>
        <w:t xml:space="preserve"> </w:t>
      </w:r>
      <w:r>
        <w:rPr>
          <w:sz w:val="24"/>
          <w:szCs w:val="24"/>
        </w:rPr>
        <w:t xml:space="preserve">which was </w:t>
      </w:r>
      <w:r w:rsidRPr="00AD657F">
        <w:rPr>
          <w:sz w:val="24"/>
          <w:szCs w:val="24"/>
        </w:rPr>
        <w:t xml:space="preserve">launched </w:t>
      </w:r>
      <w:r>
        <w:rPr>
          <w:sz w:val="24"/>
          <w:szCs w:val="24"/>
        </w:rPr>
        <w:t xml:space="preserve">in April </w:t>
      </w:r>
      <w:r w:rsidRPr="00AD657F">
        <w:rPr>
          <w:sz w:val="24"/>
          <w:szCs w:val="24"/>
        </w:rPr>
        <w:t xml:space="preserve">at the Abbey Road Household Reuse and Recycling Centre in partnership with the Restart Project </w:t>
      </w:r>
      <w:r>
        <w:rPr>
          <w:sz w:val="24"/>
          <w:szCs w:val="24"/>
        </w:rPr>
        <w:t>is now up and running with regular schedules and monthly events</w:t>
      </w:r>
      <w:r w:rsidRPr="00AD657F">
        <w:rPr>
          <w:sz w:val="24"/>
          <w:szCs w:val="24"/>
        </w:rPr>
        <w:t>.</w:t>
      </w:r>
      <w:r>
        <w:rPr>
          <w:sz w:val="24"/>
          <w:szCs w:val="24"/>
        </w:rPr>
        <w:t xml:space="preserve"> The F</w:t>
      </w:r>
      <w:r w:rsidRPr="00CE7A75">
        <w:rPr>
          <w:sz w:val="24"/>
          <w:szCs w:val="24"/>
        </w:rPr>
        <w:t xml:space="preserve">actory </w:t>
      </w:r>
      <w:r>
        <w:rPr>
          <w:sz w:val="24"/>
          <w:szCs w:val="24"/>
        </w:rPr>
        <w:t>is now collecting devices from 3 recycling centres</w:t>
      </w:r>
      <w:r w:rsidR="0009398F">
        <w:rPr>
          <w:sz w:val="24"/>
          <w:szCs w:val="24"/>
        </w:rPr>
        <w:t xml:space="preserve"> and</w:t>
      </w:r>
      <w:r>
        <w:rPr>
          <w:sz w:val="24"/>
          <w:szCs w:val="24"/>
        </w:rPr>
        <w:t xml:space="preserve"> </w:t>
      </w:r>
      <w:r w:rsidRPr="00CE7A75">
        <w:rPr>
          <w:sz w:val="24"/>
          <w:szCs w:val="24"/>
        </w:rPr>
        <w:t xml:space="preserve">has </w:t>
      </w:r>
      <w:r>
        <w:rPr>
          <w:sz w:val="24"/>
          <w:szCs w:val="24"/>
        </w:rPr>
        <w:t xml:space="preserve">so far </w:t>
      </w:r>
      <w:r w:rsidRPr="00CE7A75">
        <w:rPr>
          <w:sz w:val="24"/>
          <w:szCs w:val="24"/>
        </w:rPr>
        <w:t>check</w:t>
      </w:r>
      <w:r w:rsidR="0009398F">
        <w:rPr>
          <w:sz w:val="24"/>
          <w:szCs w:val="24"/>
        </w:rPr>
        <w:t>ed</w:t>
      </w:r>
      <w:r w:rsidRPr="00CE7A75">
        <w:rPr>
          <w:sz w:val="24"/>
          <w:szCs w:val="24"/>
        </w:rPr>
        <w:t xml:space="preserve"> 90 devices; donated 10</w:t>
      </w:r>
      <w:r>
        <w:rPr>
          <w:sz w:val="24"/>
          <w:szCs w:val="24"/>
        </w:rPr>
        <w:t>. Th</w:t>
      </w:r>
      <w:r w:rsidR="0009398F">
        <w:rPr>
          <w:sz w:val="24"/>
          <w:szCs w:val="24"/>
        </w:rPr>
        <w:t xml:space="preserve">ere is a </w:t>
      </w:r>
      <w:r w:rsidRPr="00CE7A75">
        <w:rPr>
          <w:sz w:val="24"/>
          <w:szCs w:val="24"/>
        </w:rPr>
        <w:t>repair rate of 30%</w:t>
      </w:r>
      <w:r>
        <w:rPr>
          <w:sz w:val="24"/>
          <w:szCs w:val="24"/>
        </w:rPr>
        <w:t xml:space="preserve"> and we are </w:t>
      </w:r>
      <w:r w:rsidRPr="00CE7A75">
        <w:rPr>
          <w:sz w:val="24"/>
          <w:szCs w:val="24"/>
        </w:rPr>
        <w:t>expect</w:t>
      </w:r>
      <w:r>
        <w:rPr>
          <w:sz w:val="24"/>
          <w:szCs w:val="24"/>
        </w:rPr>
        <w:t xml:space="preserve">ing this rate </w:t>
      </w:r>
      <w:r w:rsidRPr="00CE7A75">
        <w:rPr>
          <w:sz w:val="24"/>
          <w:szCs w:val="24"/>
        </w:rPr>
        <w:t>to</w:t>
      </w:r>
      <w:r>
        <w:rPr>
          <w:sz w:val="24"/>
          <w:szCs w:val="24"/>
        </w:rPr>
        <w:t xml:space="preserve"> improve over time. M</w:t>
      </w:r>
      <w:r w:rsidRPr="00AD657F">
        <w:rPr>
          <w:sz w:val="24"/>
          <w:szCs w:val="24"/>
        </w:rPr>
        <w:t>onthly repair sessions</w:t>
      </w:r>
      <w:r>
        <w:rPr>
          <w:sz w:val="24"/>
          <w:szCs w:val="24"/>
        </w:rPr>
        <w:t xml:space="preserve"> ha</w:t>
      </w:r>
      <w:r w:rsidR="008E186A">
        <w:rPr>
          <w:sz w:val="24"/>
          <w:szCs w:val="24"/>
        </w:rPr>
        <w:t>ve</w:t>
      </w:r>
      <w:r>
        <w:rPr>
          <w:sz w:val="24"/>
          <w:szCs w:val="24"/>
        </w:rPr>
        <w:t xml:space="preserve"> been running since June (</w:t>
      </w:r>
      <w:r w:rsidR="008E186A">
        <w:rPr>
          <w:sz w:val="24"/>
          <w:szCs w:val="24"/>
        </w:rPr>
        <w:t>4</w:t>
      </w:r>
      <w:r>
        <w:rPr>
          <w:sz w:val="24"/>
          <w:szCs w:val="24"/>
        </w:rPr>
        <w:t xml:space="preserve"> </w:t>
      </w:r>
      <w:r w:rsidR="008E186A">
        <w:rPr>
          <w:sz w:val="24"/>
          <w:szCs w:val="24"/>
        </w:rPr>
        <w:t xml:space="preserve">sessions </w:t>
      </w:r>
      <w:r>
        <w:rPr>
          <w:sz w:val="24"/>
          <w:szCs w:val="24"/>
        </w:rPr>
        <w:t xml:space="preserve">taken place so far) with over 50 attendees. </w:t>
      </w:r>
    </w:p>
    <w:p w14:paraId="362BF504" w14:textId="77777777" w:rsidR="00CF27DF" w:rsidRPr="00125936" w:rsidRDefault="00CF27DF" w:rsidP="00CF27DF">
      <w:pPr>
        <w:pStyle w:val="ListParagraph"/>
        <w:tabs>
          <w:tab w:val="left" w:pos="507"/>
        </w:tabs>
        <w:spacing w:before="121"/>
        <w:ind w:left="792" w:right="222"/>
        <w:jc w:val="left"/>
        <w:rPr>
          <w:sz w:val="24"/>
          <w:szCs w:val="24"/>
        </w:rPr>
      </w:pPr>
    </w:p>
    <w:p w14:paraId="4F6371BE" w14:textId="5384389E" w:rsidR="00CF27DF" w:rsidRPr="009E72DB" w:rsidRDefault="00CF27DF" w:rsidP="00CF27DF">
      <w:pPr>
        <w:pStyle w:val="ListParagraph"/>
        <w:numPr>
          <w:ilvl w:val="1"/>
          <w:numId w:val="4"/>
        </w:numPr>
        <w:tabs>
          <w:tab w:val="left" w:pos="507"/>
        </w:tabs>
        <w:spacing w:before="121"/>
        <w:ind w:right="222"/>
        <w:jc w:val="left"/>
        <w:rPr>
          <w:sz w:val="24"/>
          <w:szCs w:val="24"/>
        </w:rPr>
      </w:pPr>
      <w:r>
        <w:rPr>
          <w:b/>
          <w:sz w:val="24"/>
          <w:szCs w:val="24"/>
        </w:rPr>
        <w:t xml:space="preserve">Material Diversion from Abbey Road HRRC </w:t>
      </w:r>
      <w:r w:rsidR="009E72DB" w:rsidRPr="009E72DB">
        <w:rPr>
          <w:sz w:val="24"/>
          <w:szCs w:val="24"/>
        </w:rPr>
        <w:t>(contribute to KPI 5 &amp; 6)</w:t>
      </w:r>
    </w:p>
    <w:p w14:paraId="350F7751" w14:textId="77777777" w:rsidR="00CF27DF" w:rsidRPr="00CE7A75" w:rsidRDefault="00CF27DF" w:rsidP="00CF27DF">
      <w:pPr>
        <w:pStyle w:val="ListParagraph"/>
        <w:tabs>
          <w:tab w:val="left" w:pos="507"/>
        </w:tabs>
        <w:spacing w:before="121"/>
        <w:ind w:left="792" w:right="222" w:firstLine="0"/>
        <w:jc w:val="left"/>
        <w:rPr>
          <w:b/>
          <w:sz w:val="24"/>
          <w:szCs w:val="24"/>
          <w:u w:val="single"/>
        </w:rPr>
      </w:pPr>
      <w:r w:rsidRPr="00CE7A75">
        <w:rPr>
          <w:b/>
          <w:sz w:val="24"/>
          <w:szCs w:val="24"/>
          <w:u w:val="single"/>
        </w:rPr>
        <w:t>Bicycles</w:t>
      </w:r>
    </w:p>
    <w:p w14:paraId="1EEE452E" w14:textId="1515B633" w:rsidR="008E186A" w:rsidRDefault="008E186A" w:rsidP="00CF27DF">
      <w:pPr>
        <w:pStyle w:val="ListParagraph"/>
        <w:numPr>
          <w:ilvl w:val="0"/>
          <w:numId w:val="11"/>
        </w:numPr>
        <w:tabs>
          <w:tab w:val="left" w:pos="507"/>
        </w:tabs>
        <w:spacing w:before="121"/>
        <w:ind w:right="222"/>
        <w:jc w:val="left"/>
        <w:rPr>
          <w:sz w:val="24"/>
          <w:szCs w:val="24"/>
        </w:rPr>
      </w:pPr>
      <w:r>
        <w:rPr>
          <w:sz w:val="24"/>
          <w:szCs w:val="24"/>
        </w:rPr>
        <w:t xml:space="preserve">We’ve been collecting bicycles from </w:t>
      </w:r>
      <w:r w:rsidR="009E4459">
        <w:rPr>
          <w:sz w:val="24"/>
          <w:szCs w:val="24"/>
        </w:rPr>
        <w:t>Abbey Road</w:t>
      </w:r>
      <w:r>
        <w:rPr>
          <w:sz w:val="24"/>
          <w:szCs w:val="24"/>
        </w:rPr>
        <w:t xml:space="preserve"> </w:t>
      </w:r>
      <w:r w:rsidR="009E4459">
        <w:rPr>
          <w:sz w:val="24"/>
          <w:szCs w:val="24"/>
        </w:rPr>
        <w:t xml:space="preserve">(Brent) </w:t>
      </w:r>
      <w:r>
        <w:rPr>
          <w:sz w:val="24"/>
          <w:szCs w:val="24"/>
        </w:rPr>
        <w:t xml:space="preserve">and </w:t>
      </w:r>
      <w:r w:rsidR="009E4459">
        <w:rPr>
          <w:sz w:val="24"/>
          <w:szCs w:val="24"/>
        </w:rPr>
        <w:t>Townmead Road (Richmond)</w:t>
      </w:r>
      <w:r>
        <w:rPr>
          <w:sz w:val="24"/>
          <w:szCs w:val="24"/>
        </w:rPr>
        <w:t xml:space="preserve"> and have engaged with several partners </w:t>
      </w:r>
    </w:p>
    <w:p w14:paraId="7CFB9000" w14:textId="431AD3A2" w:rsidR="009E4459" w:rsidRDefault="009E4459" w:rsidP="00CF27DF">
      <w:pPr>
        <w:pStyle w:val="ListParagraph"/>
        <w:numPr>
          <w:ilvl w:val="0"/>
          <w:numId w:val="11"/>
        </w:numPr>
        <w:tabs>
          <w:tab w:val="left" w:pos="507"/>
        </w:tabs>
        <w:spacing w:before="121"/>
        <w:ind w:right="222"/>
        <w:jc w:val="left"/>
        <w:rPr>
          <w:sz w:val="24"/>
          <w:szCs w:val="24"/>
        </w:rPr>
      </w:pPr>
      <w:r>
        <w:rPr>
          <w:sz w:val="24"/>
          <w:szCs w:val="24"/>
        </w:rPr>
        <w:t>Officers are seeking to expand the collection from all HRRCs where possible</w:t>
      </w:r>
    </w:p>
    <w:p w14:paraId="2D612A7B" w14:textId="47FBB8D3" w:rsidR="00CF27DF" w:rsidRPr="00CE7A75" w:rsidRDefault="00CF27DF" w:rsidP="00CF27DF">
      <w:pPr>
        <w:pStyle w:val="ListParagraph"/>
        <w:numPr>
          <w:ilvl w:val="0"/>
          <w:numId w:val="11"/>
        </w:numPr>
        <w:tabs>
          <w:tab w:val="left" w:pos="507"/>
        </w:tabs>
        <w:spacing w:before="121"/>
        <w:ind w:right="222"/>
        <w:jc w:val="left"/>
        <w:rPr>
          <w:sz w:val="24"/>
          <w:szCs w:val="24"/>
        </w:rPr>
      </w:pPr>
      <w:r w:rsidRPr="00CE7A75">
        <w:rPr>
          <w:sz w:val="24"/>
          <w:szCs w:val="24"/>
        </w:rPr>
        <w:t>Let’s Ride Southall = 155 bikes donated to be given to residents as part of London’s biggest inclusive cycling programme</w:t>
      </w:r>
    </w:p>
    <w:p w14:paraId="03A7722D" w14:textId="77777777" w:rsidR="00CF27DF" w:rsidRPr="00CE7A75" w:rsidRDefault="00CF27DF" w:rsidP="00CF27DF">
      <w:pPr>
        <w:pStyle w:val="ListParagraph"/>
        <w:numPr>
          <w:ilvl w:val="0"/>
          <w:numId w:val="11"/>
        </w:numPr>
        <w:tabs>
          <w:tab w:val="left" w:pos="507"/>
        </w:tabs>
        <w:spacing w:before="121"/>
        <w:ind w:right="222"/>
        <w:jc w:val="left"/>
        <w:rPr>
          <w:sz w:val="24"/>
          <w:szCs w:val="24"/>
        </w:rPr>
      </w:pPr>
      <w:r w:rsidRPr="00CE7A75">
        <w:rPr>
          <w:sz w:val="24"/>
          <w:szCs w:val="24"/>
        </w:rPr>
        <w:t>Feltham Young Offenders = 35 bikes given to their workshop, awaiting repairs</w:t>
      </w:r>
    </w:p>
    <w:p w14:paraId="49D3D262" w14:textId="77777777" w:rsidR="00CF27DF" w:rsidRPr="00CE7A75" w:rsidRDefault="00CF27DF" w:rsidP="00CF27DF">
      <w:pPr>
        <w:pStyle w:val="ListParagraph"/>
        <w:numPr>
          <w:ilvl w:val="0"/>
          <w:numId w:val="11"/>
        </w:numPr>
        <w:tabs>
          <w:tab w:val="left" w:pos="507"/>
        </w:tabs>
        <w:spacing w:before="121"/>
        <w:ind w:right="222"/>
        <w:jc w:val="left"/>
        <w:rPr>
          <w:sz w:val="24"/>
          <w:szCs w:val="24"/>
        </w:rPr>
      </w:pPr>
      <w:r w:rsidRPr="00CE7A75">
        <w:rPr>
          <w:sz w:val="24"/>
          <w:szCs w:val="24"/>
        </w:rPr>
        <w:t>Pathways Education = currently speaking with them to use our bike workshop at Abbey Road, teaching students with special learning requirements</w:t>
      </w:r>
    </w:p>
    <w:p w14:paraId="5E3ACF9E" w14:textId="77777777" w:rsidR="00CF27DF" w:rsidRDefault="00CF27DF" w:rsidP="00CF27DF">
      <w:pPr>
        <w:pStyle w:val="ListParagraph"/>
        <w:numPr>
          <w:ilvl w:val="0"/>
          <w:numId w:val="11"/>
        </w:numPr>
        <w:tabs>
          <w:tab w:val="left" w:pos="507"/>
        </w:tabs>
        <w:spacing w:before="121"/>
        <w:ind w:right="222"/>
        <w:jc w:val="left"/>
        <w:rPr>
          <w:sz w:val="24"/>
          <w:szCs w:val="24"/>
        </w:rPr>
      </w:pPr>
      <w:proofErr w:type="spellStart"/>
      <w:r w:rsidRPr="00CE7A75">
        <w:rPr>
          <w:sz w:val="24"/>
          <w:szCs w:val="24"/>
        </w:rPr>
        <w:t>Sustrans</w:t>
      </w:r>
      <w:proofErr w:type="spellEnd"/>
      <w:r w:rsidRPr="00CE7A75">
        <w:rPr>
          <w:sz w:val="24"/>
          <w:szCs w:val="24"/>
        </w:rPr>
        <w:t xml:space="preserve"> = 16 bikes donated</w:t>
      </w:r>
    </w:p>
    <w:p w14:paraId="113BCE52" w14:textId="77777777" w:rsidR="00CF27DF" w:rsidRDefault="00CF27DF" w:rsidP="00CF27DF">
      <w:pPr>
        <w:pStyle w:val="ListParagraph"/>
        <w:numPr>
          <w:ilvl w:val="0"/>
          <w:numId w:val="11"/>
        </w:numPr>
        <w:tabs>
          <w:tab w:val="left" w:pos="507"/>
        </w:tabs>
        <w:spacing w:before="121"/>
        <w:ind w:right="222"/>
        <w:jc w:val="left"/>
        <w:rPr>
          <w:sz w:val="24"/>
          <w:szCs w:val="24"/>
        </w:rPr>
      </w:pPr>
      <w:r w:rsidRPr="00CE7A75">
        <w:rPr>
          <w:sz w:val="24"/>
          <w:szCs w:val="24"/>
        </w:rPr>
        <w:t>Hounslow Police = 5 bikes donated</w:t>
      </w:r>
    </w:p>
    <w:p w14:paraId="3E66E52C" w14:textId="77777777" w:rsidR="00CF27DF" w:rsidRPr="00007EBF" w:rsidRDefault="00CF27DF" w:rsidP="00CF27DF">
      <w:pPr>
        <w:pStyle w:val="ListParagraph"/>
        <w:tabs>
          <w:tab w:val="left" w:pos="507"/>
        </w:tabs>
        <w:spacing w:before="121"/>
        <w:ind w:left="792" w:right="222" w:firstLine="0"/>
        <w:jc w:val="left"/>
        <w:rPr>
          <w:b/>
          <w:sz w:val="24"/>
          <w:szCs w:val="24"/>
          <w:u w:val="single"/>
        </w:rPr>
      </w:pPr>
      <w:r w:rsidRPr="00007EBF">
        <w:rPr>
          <w:b/>
          <w:sz w:val="24"/>
          <w:szCs w:val="24"/>
          <w:u w:val="single"/>
        </w:rPr>
        <w:t>Buggies, suitcases &amp; disability equipment</w:t>
      </w:r>
      <w:r>
        <w:rPr>
          <w:b/>
          <w:sz w:val="24"/>
          <w:szCs w:val="24"/>
          <w:u w:val="single"/>
        </w:rPr>
        <w:t xml:space="preserve"> etc</w:t>
      </w:r>
    </w:p>
    <w:p w14:paraId="0C72AA78" w14:textId="77777777" w:rsidR="00CF27DF" w:rsidRDefault="00CF27DF" w:rsidP="00CF27DF">
      <w:pPr>
        <w:pStyle w:val="ListParagraph"/>
        <w:numPr>
          <w:ilvl w:val="0"/>
          <w:numId w:val="11"/>
        </w:numPr>
        <w:tabs>
          <w:tab w:val="left" w:pos="507"/>
        </w:tabs>
        <w:spacing w:before="121"/>
        <w:ind w:right="222"/>
        <w:jc w:val="left"/>
        <w:rPr>
          <w:sz w:val="24"/>
          <w:szCs w:val="24"/>
        </w:rPr>
      </w:pPr>
      <w:r>
        <w:rPr>
          <w:sz w:val="24"/>
          <w:szCs w:val="24"/>
        </w:rPr>
        <w:t>We are also supporting Little Village, Care4Calais, and One Nation. Over 200 items have been diverted, helping over 60 families. This includes suitcases and buggies for refugees and struggling families and disabilities equipment for victims of war abroad.</w:t>
      </w:r>
    </w:p>
    <w:p w14:paraId="26027D23" w14:textId="77777777" w:rsidR="00CF27DF" w:rsidRPr="00007EBF" w:rsidRDefault="00CF27DF" w:rsidP="00CF27DF">
      <w:pPr>
        <w:pStyle w:val="ListParagraph"/>
        <w:numPr>
          <w:ilvl w:val="0"/>
          <w:numId w:val="11"/>
        </w:numPr>
        <w:tabs>
          <w:tab w:val="left" w:pos="507"/>
        </w:tabs>
        <w:spacing w:before="121"/>
        <w:ind w:right="222"/>
        <w:jc w:val="left"/>
        <w:rPr>
          <w:sz w:val="24"/>
          <w:szCs w:val="24"/>
        </w:rPr>
      </w:pPr>
      <w:r>
        <w:rPr>
          <w:sz w:val="24"/>
          <w:szCs w:val="24"/>
        </w:rPr>
        <w:t xml:space="preserve">We will be partnering with NHS to also start collecting walking aids </w:t>
      </w:r>
    </w:p>
    <w:p w14:paraId="48875C64" w14:textId="77777777" w:rsidR="00CF27DF" w:rsidRDefault="00CF27DF" w:rsidP="00CF27DF">
      <w:pPr>
        <w:tabs>
          <w:tab w:val="left" w:pos="709"/>
        </w:tabs>
        <w:spacing w:before="121"/>
        <w:ind w:left="709" w:right="222"/>
        <w:rPr>
          <w:sz w:val="24"/>
          <w:szCs w:val="24"/>
        </w:rPr>
      </w:pPr>
      <w:r>
        <w:rPr>
          <w:sz w:val="24"/>
          <w:szCs w:val="24"/>
        </w:rPr>
        <w:t xml:space="preserve">We are currently mapping out the process and protocols for starting and developing material diversions which could be shared with the Boroughs </w:t>
      </w:r>
    </w:p>
    <w:p w14:paraId="0BF03668" w14:textId="77777777" w:rsidR="00CF27DF" w:rsidRPr="00CE7A75" w:rsidRDefault="00CF27DF" w:rsidP="00CF27DF">
      <w:pPr>
        <w:tabs>
          <w:tab w:val="left" w:pos="507"/>
        </w:tabs>
        <w:spacing w:before="121"/>
        <w:ind w:right="222"/>
        <w:rPr>
          <w:sz w:val="24"/>
          <w:szCs w:val="24"/>
        </w:rPr>
      </w:pPr>
    </w:p>
    <w:p w14:paraId="1963F19A" w14:textId="0C0BDA18" w:rsidR="00CF27DF" w:rsidRPr="001B72B7" w:rsidRDefault="00CF27DF" w:rsidP="00CF27DF">
      <w:pPr>
        <w:pStyle w:val="ListParagraph"/>
        <w:numPr>
          <w:ilvl w:val="1"/>
          <w:numId w:val="4"/>
        </w:numPr>
        <w:tabs>
          <w:tab w:val="left" w:pos="507"/>
        </w:tabs>
        <w:spacing w:before="121"/>
        <w:ind w:right="222"/>
        <w:jc w:val="left"/>
        <w:rPr>
          <w:b/>
          <w:sz w:val="24"/>
          <w:szCs w:val="24"/>
        </w:rPr>
      </w:pPr>
      <w:proofErr w:type="spellStart"/>
      <w:r>
        <w:rPr>
          <w:b/>
          <w:sz w:val="24"/>
          <w:szCs w:val="24"/>
        </w:rPr>
        <w:t>ReLondon</w:t>
      </w:r>
      <w:proofErr w:type="spellEnd"/>
      <w:r>
        <w:rPr>
          <w:b/>
          <w:sz w:val="24"/>
          <w:szCs w:val="24"/>
        </w:rPr>
        <w:t xml:space="preserve"> Pan-London Food Campaign</w:t>
      </w:r>
      <w:r w:rsidR="009E72DB">
        <w:rPr>
          <w:b/>
          <w:sz w:val="24"/>
          <w:szCs w:val="24"/>
        </w:rPr>
        <w:t xml:space="preserve"> </w:t>
      </w:r>
      <w:r w:rsidR="009E72DB" w:rsidRPr="009E72DB">
        <w:rPr>
          <w:sz w:val="24"/>
          <w:szCs w:val="24"/>
        </w:rPr>
        <w:t>(contribute to KPI 5, 6 &amp; 7)</w:t>
      </w:r>
    </w:p>
    <w:p w14:paraId="2A384ECE" w14:textId="77777777" w:rsidR="00CF27DF" w:rsidRPr="00AB2358" w:rsidRDefault="00CF27DF" w:rsidP="00CF27DF">
      <w:pPr>
        <w:pStyle w:val="ListParagraph"/>
        <w:tabs>
          <w:tab w:val="left" w:pos="507"/>
        </w:tabs>
        <w:spacing w:before="121"/>
        <w:ind w:left="792" w:right="222" w:firstLine="0"/>
        <w:jc w:val="left"/>
        <w:rPr>
          <w:sz w:val="24"/>
          <w:szCs w:val="24"/>
        </w:rPr>
      </w:pPr>
      <w:proofErr w:type="spellStart"/>
      <w:r>
        <w:rPr>
          <w:sz w:val="24"/>
          <w:szCs w:val="24"/>
        </w:rPr>
        <w:t>ReLondon</w:t>
      </w:r>
      <w:proofErr w:type="spellEnd"/>
      <w:r>
        <w:rPr>
          <w:sz w:val="24"/>
          <w:szCs w:val="24"/>
        </w:rPr>
        <w:t xml:space="preserve"> has engaged with over 20 London Boroughs to run a London-wide food campaign. Three of our Boroughs are contributing to this project and WLWA has therefore been involved in the working group to ensure our needs and feedback are given to shape the project. The primary objectives of the project is </w:t>
      </w:r>
      <w:r w:rsidRPr="00AB2358">
        <w:rPr>
          <w:sz w:val="24"/>
          <w:szCs w:val="24"/>
        </w:rPr>
        <w:t>to encourage a less carbon-intensive, more plant-based diet</w:t>
      </w:r>
      <w:r>
        <w:rPr>
          <w:sz w:val="24"/>
          <w:szCs w:val="24"/>
        </w:rPr>
        <w:t>; and</w:t>
      </w:r>
      <w:r w:rsidRPr="00AB2358">
        <w:rPr>
          <w:sz w:val="24"/>
          <w:szCs w:val="24"/>
        </w:rPr>
        <w:t xml:space="preserve"> to reduce household food waste</w:t>
      </w:r>
      <w:r>
        <w:rPr>
          <w:sz w:val="24"/>
          <w:szCs w:val="24"/>
        </w:rPr>
        <w:t>.</w:t>
      </w:r>
    </w:p>
    <w:p w14:paraId="4D33EE9B" w14:textId="77777777" w:rsidR="00CF27DF" w:rsidRDefault="00CF27DF" w:rsidP="00CF27DF">
      <w:pPr>
        <w:pStyle w:val="ListParagraph"/>
        <w:tabs>
          <w:tab w:val="left" w:pos="507"/>
        </w:tabs>
        <w:spacing w:before="121"/>
        <w:ind w:left="792" w:right="222" w:firstLine="0"/>
        <w:jc w:val="left"/>
        <w:rPr>
          <w:sz w:val="24"/>
          <w:szCs w:val="24"/>
        </w:rPr>
      </w:pPr>
    </w:p>
    <w:p w14:paraId="5C558BDF" w14:textId="17106358" w:rsidR="00CF27DF" w:rsidRPr="00156E2F" w:rsidRDefault="00CF27DF" w:rsidP="00CF27DF">
      <w:pPr>
        <w:pStyle w:val="ListParagraph"/>
        <w:numPr>
          <w:ilvl w:val="1"/>
          <w:numId w:val="4"/>
        </w:numPr>
        <w:tabs>
          <w:tab w:val="left" w:pos="507"/>
        </w:tabs>
        <w:spacing w:before="121"/>
        <w:ind w:right="222"/>
        <w:jc w:val="left"/>
        <w:rPr>
          <w:b/>
          <w:sz w:val="24"/>
          <w:szCs w:val="24"/>
        </w:rPr>
      </w:pPr>
      <w:r w:rsidRPr="00156E2F">
        <w:rPr>
          <w:b/>
          <w:sz w:val="24"/>
          <w:szCs w:val="24"/>
        </w:rPr>
        <w:t>Circular Economy Hubs</w:t>
      </w:r>
      <w:r w:rsidR="009E72DB">
        <w:rPr>
          <w:b/>
          <w:sz w:val="24"/>
          <w:szCs w:val="24"/>
        </w:rPr>
        <w:t xml:space="preserve"> </w:t>
      </w:r>
      <w:r w:rsidR="009E72DB" w:rsidRPr="009E72DB">
        <w:rPr>
          <w:sz w:val="24"/>
          <w:szCs w:val="24"/>
        </w:rPr>
        <w:t>(contribute to KPI 5, 6 &amp; 7)</w:t>
      </w:r>
    </w:p>
    <w:p w14:paraId="57E49075" w14:textId="68AF8636" w:rsidR="00F52144" w:rsidRDefault="00F52144" w:rsidP="00CF27DF">
      <w:pPr>
        <w:pStyle w:val="ListParagraph"/>
        <w:tabs>
          <w:tab w:val="left" w:pos="507"/>
        </w:tabs>
        <w:spacing w:before="121"/>
        <w:ind w:left="792" w:right="222" w:firstLine="0"/>
        <w:jc w:val="left"/>
        <w:rPr>
          <w:sz w:val="24"/>
          <w:szCs w:val="24"/>
        </w:rPr>
      </w:pPr>
      <w:r>
        <w:rPr>
          <w:sz w:val="24"/>
          <w:szCs w:val="24"/>
        </w:rPr>
        <w:t xml:space="preserve">WLWA Officers are scoping the opportunities with Ealing and Brent Councils and with third parties in Harrow </w:t>
      </w:r>
      <w:r w:rsidR="00D24EE3">
        <w:rPr>
          <w:sz w:val="24"/>
          <w:szCs w:val="24"/>
        </w:rPr>
        <w:t>and Hillingdon</w:t>
      </w:r>
      <w:r>
        <w:rPr>
          <w:sz w:val="24"/>
          <w:szCs w:val="24"/>
        </w:rPr>
        <w:t xml:space="preserve"> for Circular Economy Hubs.</w:t>
      </w:r>
    </w:p>
    <w:p w14:paraId="7890EB19" w14:textId="77777777" w:rsidR="00F60FE3" w:rsidRDefault="00F52144" w:rsidP="00CF27DF">
      <w:pPr>
        <w:pStyle w:val="ListParagraph"/>
        <w:tabs>
          <w:tab w:val="left" w:pos="507"/>
        </w:tabs>
        <w:spacing w:before="121"/>
        <w:ind w:left="792" w:right="222" w:firstLine="0"/>
        <w:jc w:val="left"/>
        <w:rPr>
          <w:sz w:val="24"/>
          <w:szCs w:val="24"/>
        </w:rPr>
      </w:pPr>
      <w:r>
        <w:rPr>
          <w:sz w:val="24"/>
          <w:szCs w:val="24"/>
        </w:rPr>
        <w:t xml:space="preserve">In addition to this WLWA Officers are working with Hounslow on neighbourhood specific Circular Economy </w:t>
      </w:r>
      <w:r w:rsidR="00F60FE3">
        <w:rPr>
          <w:sz w:val="24"/>
          <w:szCs w:val="24"/>
        </w:rPr>
        <w:t>services.</w:t>
      </w:r>
    </w:p>
    <w:p w14:paraId="047DC3DD" w14:textId="3D261218" w:rsidR="00F52144" w:rsidRDefault="00F52144" w:rsidP="00CF27DF">
      <w:pPr>
        <w:pStyle w:val="ListParagraph"/>
        <w:tabs>
          <w:tab w:val="left" w:pos="507"/>
        </w:tabs>
        <w:spacing w:before="121"/>
        <w:ind w:left="792" w:right="222" w:firstLine="0"/>
        <w:jc w:val="left"/>
        <w:rPr>
          <w:sz w:val="24"/>
          <w:szCs w:val="24"/>
        </w:rPr>
      </w:pPr>
      <w:r>
        <w:rPr>
          <w:sz w:val="24"/>
          <w:szCs w:val="24"/>
        </w:rPr>
        <w:t xml:space="preserve"> </w:t>
      </w:r>
    </w:p>
    <w:p w14:paraId="34A99632" w14:textId="77777777" w:rsidR="00CF27DF" w:rsidRPr="00CA5D99" w:rsidRDefault="00CF27DF" w:rsidP="00CF27DF">
      <w:pPr>
        <w:pStyle w:val="ListParagraph"/>
        <w:tabs>
          <w:tab w:val="left" w:pos="507"/>
        </w:tabs>
        <w:spacing w:before="121"/>
        <w:ind w:left="792" w:right="222" w:firstLine="0"/>
        <w:jc w:val="left"/>
        <w:rPr>
          <w:sz w:val="24"/>
          <w:szCs w:val="24"/>
        </w:rPr>
      </w:pPr>
    </w:p>
    <w:p w14:paraId="68F3D301" w14:textId="77777777" w:rsidR="00CF27DF" w:rsidRDefault="00CF27DF" w:rsidP="00CF27DF">
      <w:pPr>
        <w:pStyle w:val="ListParagraph"/>
        <w:tabs>
          <w:tab w:val="left" w:pos="507"/>
        </w:tabs>
        <w:spacing w:before="121"/>
        <w:ind w:left="360" w:right="222" w:firstLine="0"/>
        <w:rPr>
          <w:sz w:val="24"/>
          <w:szCs w:val="24"/>
        </w:rPr>
      </w:pPr>
      <w:r>
        <w:rPr>
          <w:sz w:val="24"/>
          <w:szCs w:val="24"/>
        </w:rPr>
        <w:t xml:space="preserve">3.4 </w:t>
      </w:r>
      <w:r w:rsidRPr="00156E2F">
        <w:rPr>
          <w:b/>
          <w:sz w:val="24"/>
          <w:szCs w:val="24"/>
        </w:rPr>
        <w:t>Abbey Road Decarbonisation</w:t>
      </w:r>
    </w:p>
    <w:p w14:paraId="5D256235" w14:textId="6B8481FE" w:rsidR="00F60FE3" w:rsidRPr="00346AE7" w:rsidRDefault="00F60FE3" w:rsidP="00346AE7">
      <w:pPr>
        <w:pStyle w:val="ListParagraph"/>
        <w:tabs>
          <w:tab w:val="left" w:pos="507"/>
        </w:tabs>
        <w:spacing w:before="121"/>
        <w:ind w:left="360" w:right="222" w:firstLine="0"/>
        <w:rPr>
          <w:sz w:val="24"/>
          <w:szCs w:val="24"/>
        </w:rPr>
      </w:pPr>
      <w:r>
        <w:rPr>
          <w:sz w:val="24"/>
          <w:szCs w:val="24"/>
        </w:rPr>
        <w:t xml:space="preserve">The grid capacity testing, building and electrical surveys, Health and Safety reviews have been completed with </w:t>
      </w:r>
      <w:r w:rsidR="009E72DB">
        <w:rPr>
          <w:sz w:val="24"/>
          <w:szCs w:val="24"/>
        </w:rPr>
        <w:t xml:space="preserve">the </w:t>
      </w:r>
      <w:r>
        <w:rPr>
          <w:sz w:val="24"/>
          <w:szCs w:val="24"/>
        </w:rPr>
        <w:t>installation of solar panels at Abbey Road due to start by the end of September.</w:t>
      </w:r>
    </w:p>
    <w:p w14:paraId="604E1501" w14:textId="77777777" w:rsidR="009E72DB" w:rsidRPr="00CA5D99" w:rsidRDefault="009E72DB" w:rsidP="00767C1A">
      <w:pPr>
        <w:pStyle w:val="ListParagraph"/>
        <w:tabs>
          <w:tab w:val="left" w:pos="507"/>
        </w:tabs>
        <w:spacing w:before="121"/>
        <w:ind w:left="360" w:right="222" w:firstLine="0"/>
        <w:rPr>
          <w:sz w:val="24"/>
          <w:szCs w:val="24"/>
        </w:rPr>
      </w:pPr>
    </w:p>
    <w:p w14:paraId="4D07A995" w14:textId="0D4B3317" w:rsidR="00CF27DF" w:rsidRPr="00156E2F" w:rsidRDefault="00CF27DF" w:rsidP="00CF27DF">
      <w:pPr>
        <w:pStyle w:val="ListParagraph"/>
        <w:numPr>
          <w:ilvl w:val="0"/>
          <w:numId w:val="4"/>
        </w:numPr>
        <w:tabs>
          <w:tab w:val="left" w:pos="507"/>
        </w:tabs>
        <w:spacing w:before="121"/>
        <w:ind w:right="222" w:hanging="171"/>
        <w:rPr>
          <w:b/>
          <w:sz w:val="24"/>
          <w:szCs w:val="24"/>
        </w:rPr>
      </w:pPr>
      <w:r w:rsidRPr="00156E2F">
        <w:rPr>
          <w:b/>
          <w:sz w:val="24"/>
          <w:szCs w:val="24"/>
        </w:rPr>
        <w:t xml:space="preserve">WLWA </w:t>
      </w:r>
      <w:r>
        <w:rPr>
          <w:b/>
          <w:sz w:val="24"/>
          <w:szCs w:val="24"/>
        </w:rPr>
        <w:t>Communication Strategy / Plan</w:t>
      </w:r>
    </w:p>
    <w:p w14:paraId="3A01A5A0" w14:textId="3DE3C7CA" w:rsidR="00CF27DF" w:rsidRDefault="00CF27DF" w:rsidP="00CF27DF">
      <w:pPr>
        <w:pStyle w:val="ListParagraph"/>
        <w:tabs>
          <w:tab w:val="left" w:pos="507"/>
        </w:tabs>
        <w:spacing w:before="121"/>
        <w:ind w:left="360" w:right="222" w:firstLine="0"/>
        <w:rPr>
          <w:sz w:val="24"/>
          <w:szCs w:val="24"/>
        </w:rPr>
      </w:pPr>
      <w:r>
        <w:rPr>
          <w:sz w:val="24"/>
          <w:szCs w:val="24"/>
        </w:rPr>
        <w:t xml:space="preserve">The Communication Strategy has been drafted and </w:t>
      </w:r>
      <w:r w:rsidR="009E72DB">
        <w:rPr>
          <w:sz w:val="24"/>
          <w:szCs w:val="24"/>
        </w:rPr>
        <w:t xml:space="preserve">is </w:t>
      </w:r>
      <w:r>
        <w:rPr>
          <w:sz w:val="24"/>
          <w:szCs w:val="24"/>
        </w:rPr>
        <w:t>currently being consulted widely with the Boroughs. We are aiming to establish consistent and regular communication managed at west London level to promote waste, recycling and wider climate emergency matters. We are convening the west London Communication board consist of representatives from Boroughs’ Comms teams to shape and support the implementation of the Comms Plan.</w:t>
      </w:r>
    </w:p>
    <w:p w14:paraId="56036954" w14:textId="77777777" w:rsidR="00CF27DF" w:rsidRPr="001B72B7" w:rsidRDefault="00CF27DF" w:rsidP="00CF27DF">
      <w:pPr>
        <w:pStyle w:val="ListParagraph"/>
        <w:tabs>
          <w:tab w:val="left" w:pos="507"/>
        </w:tabs>
        <w:spacing w:before="121"/>
        <w:ind w:left="360" w:right="222" w:firstLine="0"/>
        <w:rPr>
          <w:sz w:val="24"/>
          <w:szCs w:val="24"/>
        </w:rPr>
      </w:pPr>
    </w:p>
    <w:p w14:paraId="1BCCBFD3" w14:textId="77777777" w:rsidR="001B72B7" w:rsidRPr="00405477" w:rsidRDefault="00053B29" w:rsidP="003828A1">
      <w:pPr>
        <w:pStyle w:val="ListParagraph"/>
        <w:numPr>
          <w:ilvl w:val="0"/>
          <w:numId w:val="4"/>
        </w:numPr>
        <w:tabs>
          <w:tab w:val="left" w:pos="507"/>
        </w:tabs>
        <w:spacing w:before="121"/>
        <w:ind w:right="222" w:hanging="171"/>
        <w:rPr>
          <w:sz w:val="24"/>
          <w:szCs w:val="24"/>
        </w:rPr>
      </w:pPr>
      <w:r w:rsidRPr="00405477">
        <w:rPr>
          <w:b/>
          <w:sz w:val="24"/>
        </w:rPr>
        <w:t>Risk</w:t>
      </w:r>
    </w:p>
    <w:p w14:paraId="31FA4B9B" w14:textId="5E6C8B00" w:rsidR="0082498B" w:rsidRPr="00405477" w:rsidRDefault="003828A1" w:rsidP="001B72B7">
      <w:pPr>
        <w:pStyle w:val="ListParagraph"/>
        <w:tabs>
          <w:tab w:val="left" w:pos="507"/>
        </w:tabs>
        <w:spacing w:before="121"/>
        <w:ind w:left="360" w:right="222" w:firstLine="0"/>
        <w:rPr>
          <w:sz w:val="24"/>
          <w:szCs w:val="24"/>
        </w:rPr>
      </w:pPr>
      <w:r w:rsidRPr="00405477">
        <w:rPr>
          <w:sz w:val="24"/>
          <w:szCs w:val="24"/>
        </w:rPr>
        <w:t>New</w:t>
      </w:r>
      <w:r w:rsidRPr="00405477">
        <w:rPr>
          <w:spacing w:val="-12"/>
          <w:sz w:val="24"/>
          <w:szCs w:val="24"/>
        </w:rPr>
        <w:t xml:space="preserve"> </w:t>
      </w:r>
      <w:r w:rsidRPr="00405477">
        <w:rPr>
          <w:sz w:val="24"/>
          <w:szCs w:val="24"/>
        </w:rPr>
        <w:t xml:space="preserve">legislation and details regarding </w:t>
      </w:r>
      <w:r w:rsidR="00053B29" w:rsidRPr="00405477">
        <w:rPr>
          <w:sz w:val="24"/>
          <w:szCs w:val="24"/>
        </w:rPr>
        <w:t>EPR</w:t>
      </w:r>
      <w:r w:rsidRPr="00405477">
        <w:rPr>
          <w:spacing w:val="1"/>
          <w:sz w:val="24"/>
          <w:szCs w:val="24"/>
        </w:rPr>
        <w:t xml:space="preserve">, </w:t>
      </w:r>
      <w:r w:rsidR="00053B29" w:rsidRPr="00405477">
        <w:rPr>
          <w:sz w:val="24"/>
          <w:szCs w:val="24"/>
        </w:rPr>
        <w:t>DRS</w:t>
      </w:r>
      <w:r w:rsidR="00053B29" w:rsidRPr="00405477">
        <w:rPr>
          <w:spacing w:val="1"/>
          <w:sz w:val="24"/>
          <w:szCs w:val="24"/>
        </w:rPr>
        <w:t xml:space="preserve"> </w:t>
      </w:r>
      <w:r w:rsidR="00346AE7">
        <w:rPr>
          <w:spacing w:val="1"/>
          <w:sz w:val="24"/>
          <w:szCs w:val="24"/>
        </w:rPr>
        <w:t>and the Environment Act</w:t>
      </w:r>
      <w:r w:rsidRPr="00405477">
        <w:rPr>
          <w:spacing w:val="1"/>
          <w:sz w:val="24"/>
          <w:szCs w:val="24"/>
        </w:rPr>
        <w:t>, that will impact on all waste services are expected soon</w:t>
      </w:r>
      <w:r w:rsidR="00053B29" w:rsidRPr="00405477">
        <w:rPr>
          <w:sz w:val="24"/>
          <w:szCs w:val="24"/>
        </w:rPr>
        <w:t>.</w:t>
      </w:r>
      <w:r w:rsidR="00053B29" w:rsidRPr="00405477">
        <w:rPr>
          <w:spacing w:val="-12"/>
          <w:sz w:val="24"/>
          <w:szCs w:val="24"/>
        </w:rPr>
        <w:t xml:space="preserve"> </w:t>
      </w:r>
      <w:r w:rsidRPr="00405477">
        <w:rPr>
          <w:sz w:val="24"/>
          <w:szCs w:val="24"/>
        </w:rPr>
        <w:t xml:space="preserve">Officers are seeking to identify </w:t>
      </w:r>
      <w:r w:rsidR="00BD6499" w:rsidRPr="00405477">
        <w:rPr>
          <w:spacing w:val="-11"/>
          <w:sz w:val="24"/>
          <w:szCs w:val="24"/>
        </w:rPr>
        <w:t xml:space="preserve">potential </w:t>
      </w:r>
      <w:r w:rsidR="00053B29" w:rsidRPr="00405477">
        <w:rPr>
          <w:sz w:val="24"/>
          <w:szCs w:val="24"/>
        </w:rPr>
        <w:t>impacts</w:t>
      </w:r>
      <w:r w:rsidR="00053B29" w:rsidRPr="00405477">
        <w:rPr>
          <w:spacing w:val="-15"/>
          <w:sz w:val="24"/>
          <w:szCs w:val="24"/>
        </w:rPr>
        <w:t xml:space="preserve"> </w:t>
      </w:r>
      <w:r w:rsidR="00346AE7">
        <w:rPr>
          <w:spacing w:val="-15"/>
          <w:sz w:val="24"/>
          <w:szCs w:val="24"/>
        </w:rPr>
        <w:t>and</w:t>
      </w:r>
      <w:r w:rsidR="00053B29" w:rsidRPr="00405477">
        <w:rPr>
          <w:sz w:val="24"/>
          <w:szCs w:val="24"/>
        </w:rPr>
        <w:t xml:space="preserve"> factor</w:t>
      </w:r>
      <w:r w:rsidR="00053B29" w:rsidRPr="00405477">
        <w:rPr>
          <w:spacing w:val="1"/>
          <w:sz w:val="24"/>
          <w:szCs w:val="24"/>
        </w:rPr>
        <w:t xml:space="preserve"> </w:t>
      </w:r>
      <w:r w:rsidRPr="00405477">
        <w:rPr>
          <w:spacing w:val="1"/>
          <w:sz w:val="24"/>
          <w:szCs w:val="24"/>
        </w:rPr>
        <w:t xml:space="preserve">these </w:t>
      </w:r>
      <w:r w:rsidR="00053B29" w:rsidRPr="00405477">
        <w:rPr>
          <w:sz w:val="24"/>
          <w:szCs w:val="24"/>
        </w:rPr>
        <w:t>in</w:t>
      </w:r>
      <w:r w:rsidR="00053B29" w:rsidRPr="00405477">
        <w:rPr>
          <w:spacing w:val="1"/>
          <w:sz w:val="24"/>
          <w:szCs w:val="24"/>
        </w:rPr>
        <w:t xml:space="preserve"> </w:t>
      </w:r>
      <w:r w:rsidR="00053B29" w:rsidRPr="00405477">
        <w:rPr>
          <w:sz w:val="24"/>
          <w:szCs w:val="24"/>
        </w:rPr>
        <w:t>during</w:t>
      </w:r>
      <w:r w:rsidR="00053B29" w:rsidRPr="00405477">
        <w:rPr>
          <w:spacing w:val="-3"/>
          <w:sz w:val="24"/>
          <w:szCs w:val="24"/>
        </w:rPr>
        <w:t xml:space="preserve"> </w:t>
      </w:r>
      <w:r w:rsidR="00053B29" w:rsidRPr="00405477">
        <w:rPr>
          <w:sz w:val="24"/>
          <w:szCs w:val="24"/>
        </w:rPr>
        <w:t>the development</w:t>
      </w:r>
      <w:r w:rsidR="00053B29" w:rsidRPr="00405477">
        <w:rPr>
          <w:spacing w:val="-2"/>
          <w:sz w:val="24"/>
          <w:szCs w:val="24"/>
        </w:rPr>
        <w:t xml:space="preserve"> </w:t>
      </w:r>
      <w:r w:rsidR="00053B29" w:rsidRPr="00405477">
        <w:rPr>
          <w:sz w:val="24"/>
          <w:szCs w:val="24"/>
        </w:rPr>
        <w:t>of all</w:t>
      </w:r>
      <w:r w:rsidR="00053B29" w:rsidRPr="00405477">
        <w:rPr>
          <w:spacing w:val="-1"/>
          <w:sz w:val="24"/>
          <w:szCs w:val="24"/>
        </w:rPr>
        <w:t xml:space="preserve"> </w:t>
      </w:r>
      <w:r w:rsidR="00053B29" w:rsidRPr="00405477">
        <w:rPr>
          <w:sz w:val="24"/>
          <w:szCs w:val="24"/>
        </w:rPr>
        <w:t>projects.</w:t>
      </w:r>
    </w:p>
    <w:p w14:paraId="761AC425" w14:textId="6FAE14CC" w:rsidR="004C5E6A" w:rsidRPr="00405477" w:rsidRDefault="004C5E6A" w:rsidP="001B72B7">
      <w:pPr>
        <w:pStyle w:val="ListParagraph"/>
        <w:tabs>
          <w:tab w:val="left" w:pos="507"/>
        </w:tabs>
        <w:spacing w:before="121"/>
        <w:ind w:left="360" w:right="222" w:firstLine="0"/>
        <w:rPr>
          <w:sz w:val="24"/>
          <w:szCs w:val="24"/>
        </w:rPr>
      </w:pPr>
      <w:r w:rsidRPr="00405477">
        <w:rPr>
          <w:sz w:val="24"/>
          <w:szCs w:val="24"/>
        </w:rPr>
        <w:t>This includes significant work on data and colle</w:t>
      </w:r>
      <w:r w:rsidR="00346AE7">
        <w:rPr>
          <w:sz w:val="24"/>
          <w:szCs w:val="24"/>
        </w:rPr>
        <w:t>ctions systems to help inform</w:t>
      </w:r>
      <w:r w:rsidRPr="00405477">
        <w:rPr>
          <w:sz w:val="24"/>
          <w:szCs w:val="24"/>
        </w:rPr>
        <w:t xml:space="preserve"> whole system impacts of future</w:t>
      </w:r>
      <w:r w:rsidR="00346AE7">
        <w:rPr>
          <w:sz w:val="24"/>
          <w:szCs w:val="24"/>
        </w:rPr>
        <w:t xml:space="preserve"> legislation</w:t>
      </w:r>
      <w:r w:rsidRPr="00405477">
        <w:rPr>
          <w:sz w:val="24"/>
          <w:szCs w:val="24"/>
        </w:rPr>
        <w:t xml:space="preserve"> such as consistency of collection</w:t>
      </w:r>
      <w:r w:rsidR="00405477" w:rsidRPr="00405477">
        <w:rPr>
          <w:sz w:val="24"/>
          <w:szCs w:val="24"/>
        </w:rPr>
        <w:t>.</w:t>
      </w:r>
      <w:r w:rsidRPr="00405477">
        <w:rPr>
          <w:sz w:val="24"/>
          <w:szCs w:val="24"/>
        </w:rPr>
        <w:t xml:space="preserve"> </w:t>
      </w:r>
    </w:p>
    <w:p w14:paraId="0FA8DBCC" w14:textId="77777777" w:rsidR="001B72B7" w:rsidRPr="00405477" w:rsidRDefault="001B72B7" w:rsidP="001C631E">
      <w:pPr>
        <w:tabs>
          <w:tab w:val="left" w:pos="507"/>
        </w:tabs>
        <w:spacing w:before="121"/>
        <w:ind w:right="222"/>
        <w:rPr>
          <w:sz w:val="24"/>
          <w:szCs w:val="24"/>
        </w:rPr>
      </w:pPr>
    </w:p>
    <w:p w14:paraId="409B8D52" w14:textId="77777777" w:rsidR="001B72B7" w:rsidRPr="00405477" w:rsidRDefault="003828A1" w:rsidP="00E311F8">
      <w:pPr>
        <w:pStyle w:val="ListParagraph"/>
        <w:numPr>
          <w:ilvl w:val="0"/>
          <w:numId w:val="4"/>
        </w:numPr>
        <w:tabs>
          <w:tab w:val="left" w:pos="507"/>
        </w:tabs>
        <w:ind w:left="426" w:right="220" w:hanging="218"/>
        <w:rPr>
          <w:sz w:val="24"/>
        </w:rPr>
      </w:pPr>
      <w:r w:rsidRPr="00405477">
        <w:rPr>
          <w:b/>
          <w:sz w:val="24"/>
        </w:rPr>
        <w:t xml:space="preserve"> </w:t>
      </w:r>
      <w:r w:rsidR="00053B29" w:rsidRPr="00405477">
        <w:rPr>
          <w:b/>
          <w:sz w:val="24"/>
        </w:rPr>
        <w:t>Financial Implications</w:t>
      </w:r>
    </w:p>
    <w:p w14:paraId="0D1647B3" w14:textId="30361A02" w:rsidR="00C82C32" w:rsidRPr="00405477" w:rsidRDefault="00E311F8" w:rsidP="001B72B7">
      <w:pPr>
        <w:pStyle w:val="ListParagraph"/>
        <w:tabs>
          <w:tab w:val="left" w:pos="507"/>
        </w:tabs>
        <w:ind w:left="360" w:right="220" w:firstLine="0"/>
        <w:rPr>
          <w:bCs/>
          <w:sz w:val="24"/>
        </w:rPr>
      </w:pPr>
      <w:r w:rsidRPr="00405477">
        <w:rPr>
          <w:bCs/>
          <w:sz w:val="24"/>
        </w:rPr>
        <w:t>WLWA projects are designed to test and change the whole system to deliver benefits financially, environmentally and socially. Due to the whole system approach</w:t>
      </w:r>
      <w:r w:rsidR="008C1548" w:rsidRPr="00405477">
        <w:rPr>
          <w:bCs/>
          <w:sz w:val="24"/>
        </w:rPr>
        <w:t>,</w:t>
      </w:r>
      <w:r w:rsidRPr="00405477">
        <w:rPr>
          <w:bCs/>
          <w:sz w:val="24"/>
        </w:rPr>
        <w:t xml:space="preserve"> there are aspects of the deliver</w:t>
      </w:r>
      <w:r w:rsidR="00EE0B55" w:rsidRPr="00405477">
        <w:rPr>
          <w:bCs/>
          <w:sz w:val="24"/>
        </w:rPr>
        <w:t>y</w:t>
      </w:r>
      <w:r w:rsidRPr="00405477">
        <w:rPr>
          <w:bCs/>
          <w:sz w:val="24"/>
        </w:rPr>
        <w:t xml:space="preserve"> and return</w:t>
      </w:r>
      <w:r w:rsidR="00EE0B55" w:rsidRPr="00405477">
        <w:rPr>
          <w:bCs/>
          <w:sz w:val="24"/>
        </w:rPr>
        <w:t>s</w:t>
      </w:r>
      <w:r w:rsidRPr="00405477">
        <w:rPr>
          <w:bCs/>
          <w:sz w:val="24"/>
        </w:rPr>
        <w:t xml:space="preserve"> that require significant partnership working and multiple stakeholder </w:t>
      </w:r>
      <w:r w:rsidR="00AB3F11" w:rsidRPr="00405477">
        <w:rPr>
          <w:bCs/>
          <w:sz w:val="24"/>
        </w:rPr>
        <w:t>changes</w:t>
      </w:r>
      <w:r w:rsidRPr="00405477">
        <w:rPr>
          <w:bCs/>
          <w:sz w:val="24"/>
        </w:rPr>
        <w:t>, as such absolute</w:t>
      </w:r>
      <w:r w:rsidR="0092510B" w:rsidRPr="00405477">
        <w:rPr>
          <w:bCs/>
          <w:sz w:val="24"/>
        </w:rPr>
        <w:t xml:space="preserve"> return</w:t>
      </w:r>
      <w:r w:rsidRPr="00405477">
        <w:rPr>
          <w:bCs/>
          <w:sz w:val="24"/>
        </w:rPr>
        <w:t>s</w:t>
      </w:r>
      <w:r w:rsidR="0092510B" w:rsidRPr="00405477">
        <w:rPr>
          <w:bCs/>
          <w:sz w:val="24"/>
        </w:rPr>
        <w:t xml:space="preserve"> </w:t>
      </w:r>
      <w:r w:rsidRPr="00405477">
        <w:rPr>
          <w:bCs/>
          <w:sz w:val="24"/>
        </w:rPr>
        <w:t>are modelled</w:t>
      </w:r>
      <w:r w:rsidR="008C6EC6" w:rsidRPr="00405477">
        <w:rPr>
          <w:bCs/>
          <w:sz w:val="24"/>
        </w:rPr>
        <w:t>,</w:t>
      </w:r>
      <w:r w:rsidRPr="00405477">
        <w:rPr>
          <w:bCs/>
          <w:sz w:val="24"/>
        </w:rPr>
        <w:t xml:space="preserve"> risk assessed</w:t>
      </w:r>
      <w:r w:rsidR="008C6EC6" w:rsidRPr="00405477">
        <w:rPr>
          <w:bCs/>
          <w:sz w:val="24"/>
        </w:rPr>
        <w:t xml:space="preserve"> and tracked</w:t>
      </w:r>
      <w:r w:rsidRPr="00405477">
        <w:rPr>
          <w:bCs/>
          <w:sz w:val="24"/>
        </w:rPr>
        <w:t xml:space="preserve"> but cannot </w:t>
      </w:r>
      <w:r w:rsidR="008C6EC6" w:rsidRPr="00405477">
        <w:rPr>
          <w:bCs/>
          <w:sz w:val="24"/>
        </w:rPr>
        <w:t>be</w:t>
      </w:r>
      <w:r w:rsidRPr="00405477">
        <w:rPr>
          <w:bCs/>
          <w:sz w:val="24"/>
        </w:rPr>
        <w:t xml:space="preserve"> guaranteed</w:t>
      </w:r>
      <w:r w:rsidR="0092510B" w:rsidRPr="00405477">
        <w:rPr>
          <w:bCs/>
          <w:sz w:val="24"/>
        </w:rPr>
        <w:t>.</w:t>
      </w:r>
    </w:p>
    <w:p w14:paraId="549111CF" w14:textId="23BC8115" w:rsidR="00346AE7" w:rsidRDefault="00346AE7" w:rsidP="00346AE7">
      <w:pPr>
        <w:pStyle w:val="ListParagraph"/>
        <w:tabs>
          <w:tab w:val="left" w:pos="507"/>
        </w:tabs>
        <w:ind w:left="426" w:right="220" w:firstLine="0"/>
        <w:rPr>
          <w:sz w:val="24"/>
        </w:rPr>
      </w:pPr>
      <w:r>
        <w:rPr>
          <w:sz w:val="24"/>
        </w:rPr>
        <w:t xml:space="preserve">The solar panel cost has increased by just under £5000, </w:t>
      </w:r>
      <w:r>
        <w:rPr>
          <w:sz w:val="24"/>
        </w:rPr>
        <w:t>i</w:t>
      </w:r>
      <w:r w:rsidR="001C631E" w:rsidRPr="00405477">
        <w:rPr>
          <w:sz w:val="24"/>
        </w:rPr>
        <w:t>n line with</w:t>
      </w:r>
      <w:r w:rsidR="00405477" w:rsidRPr="00405477">
        <w:rPr>
          <w:sz w:val="24"/>
        </w:rPr>
        <w:t xml:space="preserve"> the</w:t>
      </w:r>
      <w:r w:rsidR="001C631E" w:rsidRPr="00405477">
        <w:rPr>
          <w:sz w:val="24"/>
        </w:rPr>
        <w:t xml:space="preserve"> increase in the cost of energy and fuel</w:t>
      </w:r>
      <w:r w:rsidR="00405477" w:rsidRPr="00405477">
        <w:rPr>
          <w:sz w:val="24"/>
        </w:rPr>
        <w:t>,</w:t>
      </w:r>
      <w:r w:rsidR="001C631E" w:rsidRPr="00405477">
        <w:rPr>
          <w:sz w:val="24"/>
        </w:rPr>
        <w:t xml:space="preserve"> the solar</w:t>
      </w:r>
      <w:r>
        <w:rPr>
          <w:sz w:val="24"/>
        </w:rPr>
        <w:t xml:space="preserve"> panel and</w:t>
      </w:r>
      <w:r w:rsidR="001C631E" w:rsidRPr="00405477">
        <w:rPr>
          <w:sz w:val="24"/>
        </w:rPr>
        <w:t xml:space="preserve"> EV </w:t>
      </w:r>
      <w:r>
        <w:rPr>
          <w:sz w:val="24"/>
        </w:rPr>
        <w:t>project</w:t>
      </w:r>
      <w:r w:rsidR="001C631E" w:rsidRPr="00405477">
        <w:rPr>
          <w:sz w:val="24"/>
        </w:rPr>
        <w:t xml:space="preserve"> returns</w:t>
      </w:r>
      <w:r>
        <w:rPr>
          <w:sz w:val="24"/>
        </w:rPr>
        <w:t xml:space="preserve"> have improved</w:t>
      </w:r>
      <w:r w:rsidR="001C631E" w:rsidRPr="00405477">
        <w:rPr>
          <w:sz w:val="24"/>
        </w:rPr>
        <w:t xml:space="preserve"> improve due to the increased off-set versus energy from the grid or </w:t>
      </w:r>
      <w:r w:rsidR="004516EF" w:rsidRPr="00405477">
        <w:rPr>
          <w:sz w:val="24"/>
        </w:rPr>
        <w:t>diesel usage.</w:t>
      </w:r>
      <w:r>
        <w:rPr>
          <w:sz w:val="24"/>
        </w:rPr>
        <w:t xml:space="preserve"> All other projects are currently within approved budgets</w:t>
      </w:r>
      <w:r w:rsidR="003F028A">
        <w:rPr>
          <w:sz w:val="24"/>
        </w:rPr>
        <w:t xml:space="preserve"> and project parameters</w:t>
      </w:r>
      <w:bookmarkStart w:id="0" w:name="_GoBack"/>
      <w:bookmarkEnd w:id="0"/>
      <w:r>
        <w:rPr>
          <w:sz w:val="24"/>
        </w:rPr>
        <w:t>.</w:t>
      </w:r>
    </w:p>
    <w:p w14:paraId="0BDB8BC8" w14:textId="7E105B72" w:rsidR="00405477" w:rsidRPr="00405477" w:rsidRDefault="00053B29" w:rsidP="00346AE7">
      <w:pPr>
        <w:pStyle w:val="ListParagraph"/>
        <w:numPr>
          <w:ilvl w:val="0"/>
          <w:numId w:val="4"/>
        </w:numPr>
        <w:tabs>
          <w:tab w:val="left" w:pos="507"/>
        </w:tabs>
        <w:ind w:right="220"/>
        <w:rPr>
          <w:sz w:val="24"/>
        </w:rPr>
      </w:pPr>
      <w:r w:rsidRPr="00405477">
        <w:rPr>
          <w:b/>
          <w:sz w:val="24"/>
        </w:rPr>
        <w:t>Staffing Implications</w:t>
      </w:r>
      <w:r w:rsidRPr="00405477">
        <w:rPr>
          <w:sz w:val="24"/>
        </w:rPr>
        <w:t xml:space="preserve"> –</w:t>
      </w:r>
      <w:r w:rsidRPr="00405477">
        <w:rPr>
          <w:b/>
          <w:sz w:val="24"/>
        </w:rPr>
        <w:t xml:space="preserve"> </w:t>
      </w:r>
      <w:r w:rsidR="004516EF" w:rsidRPr="00405477">
        <w:rPr>
          <w:bCs/>
          <w:sz w:val="24"/>
        </w:rPr>
        <w:t xml:space="preserve">Projects and Circular Economy Team are currently </w:t>
      </w:r>
      <w:r w:rsidR="00405477" w:rsidRPr="00405477">
        <w:rPr>
          <w:bCs/>
          <w:sz w:val="24"/>
        </w:rPr>
        <w:t>under resourced with t</w:t>
      </w:r>
      <w:r w:rsidR="008C1548" w:rsidRPr="00405477">
        <w:rPr>
          <w:sz w:val="24"/>
        </w:rPr>
        <w:t xml:space="preserve">wo members of staff (CE Manager and a Project Officer) </w:t>
      </w:r>
      <w:r w:rsidR="00405477" w:rsidRPr="00405477">
        <w:rPr>
          <w:sz w:val="24"/>
        </w:rPr>
        <w:t>o</w:t>
      </w:r>
      <w:r w:rsidR="00CF27DF" w:rsidRPr="00405477">
        <w:rPr>
          <w:sz w:val="24"/>
        </w:rPr>
        <w:t>n maternity leave since May</w:t>
      </w:r>
      <w:r w:rsidR="00405477" w:rsidRPr="00405477">
        <w:rPr>
          <w:sz w:val="24"/>
        </w:rPr>
        <w:t>.</w:t>
      </w:r>
      <w:r w:rsidR="00CF27DF" w:rsidRPr="00405477">
        <w:rPr>
          <w:sz w:val="24"/>
        </w:rPr>
        <w:t xml:space="preserve"> </w:t>
      </w:r>
      <w:r w:rsidR="00405477" w:rsidRPr="00405477">
        <w:rPr>
          <w:sz w:val="24"/>
        </w:rPr>
        <w:t>A</w:t>
      </w:r>
      <w:r w:rsidR="00CF27DF" w:rsidRPr="00405477">
        <w:rPr>
          <w:sz w:val="24"/>
        </w:rPr>
        <w:t xml:space="preserve">n additional member of staff has served their notice to leave WLWA by the end of Sept. </w:t>
      </w:r>
    </w:p>
    <w:p w14:paraId="127CAE48" w14:textId="5436CE3B" w:rsidR="009E4459" w:rsidRDefault="00CF27DF" w:rsidP="009E4459">
      <w:pPr>
        <w:pStyle w:val="ListParagraph"/>
        <w:tabs>
          <w:tab w:val="left" w:pos="507"/>
        </w:tabs>
        <w:spacing w:before="121"/>
        <w:ind w:left="360" w:right="224" w:firstLine="0"/>
        <w:rPr>
          <w:sz w:val="24"/>
        </w:rPr>
      </w:pPr>
      <w:r w:rsidRPr="00405477">
        <w:rPr>
          <w:sz w:val="24"/>
        </w:rPr>
        <w:t xml:space="preserve">Whilst we are currently in the process of interviewing for the </w:t>
      </w:r>
      <w:r w:rsidR="00405477" w:rsidRPr="00405477">
        <w:rPr>
          <w:sz w:val="24"/>
        </w:rPr>
        <w:t xml:space="preserve">maternity </w:t>
      </w:r>
      <w:r w:rsidRPr="00405477">
        <w:rPr>
          <w:sz w:val="24"/>
        </w:rPr>
        <w:t>cover role</w:t>
      </w:r>
      <w:r w:rsidR="00405477" w:rsidRPr="00405477">
        <w:rPr>
          <w:sz w:val="24"/>
        </w:rPr>
        <w:t xml:space="preserve">s and initiating the </w:t>
      </w:r>
      <w:proofErr w:type="gramStart"/>
      <w:r w:rsidR="00405477" w:rsidRPr="00405477">
        <w:rPr>
          <w:sz w:val="24"/>
        </w:rPr>
        <w:t>recruitment</w:t>
      </w:r>
      <w:proofErr w:type="gramEnd"/>
      <w:r w:rsidR="00405477" w:rsidRPr="00405477">
        <w:rPr>
          <w:sz w:val="24"/>
        </w:rPr>
        <w:t xml:space="preserve"> for the Circular Economy Engagement Officer</w:t>
      </w:r>
      <w:r w:rsidR="008C1548" w:rsidRPr="00405477">
        <w:rPr>
          <w:sz w:val="24"/>
        </w:rPr>
        <w:t xml:space="preserve">. </w:t>
      </w:r>
    </w:p>
    <w:p w14:paraId="2D30598D" w14:textId="12BE6C33" w:rsidR="008C1548" w:rsidRPr="002609F8" w:rsidRDefault="00053B29" w:rsidP="009E4459">
      <w:pPr>
        <w:pStyle w:val="ListParagraph"/>
        <w:numPr>
          <w:ilvl w:val="0"/>
          <w:numId w:val="4"/>
        </w:numPr>
        <w:tabs>
          <w:tab w:val="left" w:pos="507"/>
        </w:tabs>
        <w:spacing w:before="121"/>
        <w:ind w:right="224"/>
        <w:rPr>
          <w:sz w:val="24"/>
        </w:rPr>
      </w:pPr>
      <w:r w:rsidRPr="002609F8">
        <w:rPr>
          <w:b/>
          <w:sz w:val="24"/>
        </w:rPr>
        <w:t xml:space="preserve">Health and Safety Implications </w:t>
      </w:r>
      <w:r w:rsidRPr="002609F8">
        <w:rPr>
          <w:sz w:val="24"/>
        </w:rPr>
        <w:t>–</w:t>
      </w:r>
      <w:r w:rsidR="0041713B" w:rsidRPr="002609F8">
        <w:rPr>
          <w:sz w:val="24"/>
        </w:rPr>
        <w:t xml:space="preserve"> </w:t>
      </w:r>
      <w:r w:rsidRPr="002609F8">
        <w:rPr>
          <w:sz w:val="24"/>
        </w:rPr>
        <w:t>All fieldwork has been risk</w:t>
      </w:r>
      <w:r w:rsidR="00A87979" w:rsidRPr="002609F8">
        <w:rPr>
          <w:sz w:val="24"/>
        </w:rPr>
        <w:t>-</w:t>
      </w:r>
      <w:r w:rsidRPr="002609F8">
        <w:rPr>
          <w:sz w:val="24"/>
        </w:rPr>
        <w:t>assessed for the tasks to be completed</w:t>
      </w:r>
      <w:r w:rsidR="00CA5D99" w:rsidRPr="002609F8">
        <w:rPr>
          <w:sz w:val="24"/>
        </w:rPr>
        <w:t xml:space="preserve">. </w:t>
      </w:r>
      <w:r w:rsidR="00767C1A" w:rsidRPr="002609F8">
        <w:rPr>
          <w:sz w:val="24"/>
        </w:rPr>
        <w:t xml:space="preserve">In order to improve the </w:t>
      </w:r>
      <w:r w:rsidR="00D24EE3" w:rsidRPr="002609F8">
        <w:rPr>
          <w:sz w:val="24"/>
        </w:rPr>
        <w:t>way,</w:t>
      </w:r>
      <w:r w:rsidR="00767C1A" w:rsidRPr="002609F8">
        <w:rPr>
          <w:sz w:val="24"/>
        </w:rPr>
        <w:t xml:space="preserve"> the H&amp;S is addressed across all</w:t>
      </w:r>
      <w:r w:rsidR="00D24EE3">
        <w:rPr>
          <w:sz w:val="24"/>
        </w:rPr>
        <w:t xml:space="preserve"> third party</w:t>
      </w:r>
      <w:r w:rsidR="00767C1A" w:rsidRPr="002609F8">
        <w:rPr>
          <w:sz w:val="24"/>
        </w:rPr>
        <w:t xml:space="preserve"> projects, we are currently developing a protocol / workflow to map out how to address H&amp;S and engage with the H&amp;S advisor(s).</w:t>
      </w:r>
    </w:p>
    <w:p w14:paraId="03B3CE25" w14:textId="56B18831" w:rsidR="008C1548" w:rsidRPr="00405477" w:rsidRDefault="008C1548" w:rsidP="00CF27DF">
      <w:pPr>
        <w:tabs>
          <w:tab w:val="left" w:pos="507"/>
        </w:tabs>
        <w:spacing w:before="121"/>
        <w:ind w:left="360" w:right="224"/>
        <w:rPr>
          <w:sz w:val="24"/>
        </w:rPr>
      </w:pPr>
      <w:r w:rsidRPr="00405477">
        <w:rPr>
          <w:sz w:val="24"/>
        </w:rPr>
        <w:t xml:space="preserve">We are currently reviewing the current H&amp;S guidance around working with </w:t>
      </w:r>
      <w:r w:rsidR="009E4459">
        <w:rPr>
          <w:sz w:val="24"/>
        </w:rPr>
        <w:t>Vulnerable</w:t>
      </w:r>
      <w:r w:rsidRPr="00405477">
        <w:rPr>
          <w:sz w:val="24"/>
        </w:rPr>
        <w:t xml:space="preserve"> </w:t>
      </w:r>
      <w:r w:rsidR="00D24EE3">
        <w:rPr>
          <w:sz w:val="24"/>
        </w:rPr>
        <w:t>P</w:t>
      </w:r>
      <w:r w:rsidRPr="00405477">
        <w:rPr>
          <w:sz w:val="24"/>
        </w:rPr>
        <w:t>eople at Abbey Road to enable us to provide opportunities (work experience, site visits/educational) for them to visit the site. This is addressed by the separate agenda item, “</w:t>
      </w:r>
      <w:r w:rsidR="00405477" w:rsidRPr="00405477">
        <w:rPr>
          <w:sz w:val="24"/>
        </w:rPr>
        <w:t>Health and Safety Policy and Guidance change</w:t>
      </w:r>
      <w:r w:rsidRPr="00405477">
        <w:rPr>
          <w:sz w:val="24"/>
        </w:rPr>
        <w:t>”.</w:t>
      </w:r>
    </w:p>
    <w:p w14:paraId="6CF1F16B" w14:textId="48E491A2" w:rsidR="0041713B" w:rsidRPr="002609F8" w:rsidRDefault="0041713B" w:rsidP="008C1548">
      <w:pPr>
        <w:tabs>
          <w:tab w:val="left" w:pos="507"/>
        </w:tabs>
        <w:spacing w:before="121"/>
        <w:ind w:left="360" w:right="224"/>
        <w:rPr>
          <w:sz w:val="24"/>
        </w:rPr>
      </w:pPr>
      <w:r w:rsidRPr="002609F8">
        <w:rPr>
          <w:sz w:val="24"/>
        </w:rPr>
        <w:t>Additional Health and Safety training is being planned for the team to ensure all members are informed to a standard to help raise awareness on site visits.</w:t>
      </w:r>
    </w:p>
    <w:p w14:paraId="3E0B7238" w14:textId="75DA80AF" w:rsidR="0082498B" w:rsidRPr="002609F8" w:rsidRDefault="00053B29">
      <w:pPr>
        <w:pStyle w:val="ListParagraph"/>
        <w:numPr>
          <w:ilvl w:val="0"/>
          <w:numId w:val="4"/>
        </w:numPr>
        <w:tabs>
          <w:tab w:val="left" w:pos="507"/>
        </w:tabs>
        <w:spacing w:before="121"/>
        <w:ind w:left="506" w:hanging="361"/>
        <w:rPr>
          <w:sz w:val="24"/>
        </w:rPr>
      </w:pPr>
      <w:r w:rsidRPr="002609F8">
        <w:rPr>
          <w:b/>
          <w:sz w:val="24"/>
        </w:rPr>
        <w:t>Legal</w:t>
      </w:r>
      <w:r w:rsidRPr="002609F8">
        <w:rPr>
          <w:b/>
          <w:spacing w:val="-1"/>
          <w:sz w:val="24"/>
        </w:rPr>
        <w:t xml:space="preserve"> </w:t>
      </w:r>
      <w:r w:rsidRPr="002609F8">
        <w:rPr>
          <w:b/>
          <w:sz w:val="24"/>
        </w:rPr>
        <w:t>Implications</w:t>
      </w:r>
      <w:r w:rsidRPr="002609F8">
        <w:rPr>
          <w:b/>
          <w:spacing w:val="2"/>
          <w:sz w:val="24"/>
        </w:rPr>
        <w:t xml:space="preserve"> </w:t>
      </w:r>
      <w:r w:rsidRPr="002609F8">
        <w:rPr>
          <w:b/>
          <w:sz w:val="24"/>
        </w:rPr>
        <w:t>-</w:t>
      </w:r>
      <w:r w:rsidRPr="002609F8">
        <w:rPr>
          <w:b/>
          <w:spacing w:val="-4"/>
          <w:sz w:val="24"/>
        </w:rPr>
        <w:t xml:space="preserve"> </w:t>
      </w:r>
      <w:r w:rsidR="00FD0E69" w:rsidRPr="002609F8">
        <w:rPr>
          <w:sz w:val="24"/>
        </w:rPr>
        <w:t>n</w:t>
      </w:r>
      <w:r w:rsidRPr="002609F8">
        <w:rPr>
          <w:sz w:val="24"/>
        </w:rPr>
        <w:t>one</w:t>
      </w:r>
    </w:p>
    <w:p w14:paraId="58299F1E" w14:textId="77777777" w:rsidR="0082498B" w:rsidRPr="009E4459" w:rsidRDefault="00053B29">
      <w:pPr>
        <w:pStyle w:val="ListParagraph"/>
        <w:numPr>
          <w:ilvl w:val="0"/>
          <w:numId w:val="4"/>
        </w:numPr>
        <w:tabs>
          <w:tab w:val="left" w:pos="507"/>
        </w:tabs>
        <w:ind w:left="506" w:hanging="361"/>
        <w:rPr>
          <w:sz w:val="24"/>
        </w:rPr>
      </w:pPr>
      <w:r w:rsidRPr="009E4459">
        <w:rPr>
          <w:b/>
          <w:sz w:val="24"/>
        </w:rPr>
        <w:t>Joint</w:t>
      </w:r>
      <w:r w:rsidRPr="009E4459">
        <w:rPr>
          <w:b/>
          <w:spacing w:val="-2"/>
          <w:sz w:val="24"/>
        </w:rPr>
        <w:t xml:space="preserve"> </w:t>
      </w:r>
      <w:r w:rsidRPr="009E4459">
        <w:rPr>
          <w:b/>
          <w:sz w:val="24"/>
        </w:rPr>
        <w:t>Waste</w:t>
      </w:r>
      <w:r w:rsidRPr="009E4459">
        <w:rPr>
          <w:b/>
          <w:spacing w:val="-1"/>
          <w:sz w:val="24"/>
        </w:rPr>
        <w:t xml:space="preserve"> </w:t>
      </w:r>
      <w:r w:rsidRPr="009E4459">
        <w:rPr>
          <w:b/>
          <w:sz w:val="24"/>
        </w:rPr>
        <w:t>Management</w:t>
      </w:r>
      <w:r w:rsidRPr="009E4459">
        <w:rPr>
          <w:b/>
          <w:spacing w:val="-3"/>
          <w:sz w:val="24"/>
        </w:rPr>
        <w:t xml:space="preserve"> </w:t>
      </w:r>
      <w:r w:rsidRPr="009E4459">
        <w:rPr>
          <w:b/>
          <w:sz w:val="24"/>
        </w:rPr>
        <w:t>Strategy</w:t>
      </w:r>
    </w:p>
    <w:p w14:paraId="4FCA1FDC" w14:textId="5A3D5B65" w:rsidR="0082498B" w:rsidRDefault="00053B29">
      <w:pPr>
        <w:pStyle w:val="BodyText"/>
        <w:spacing w:before="120"/>
        <w:ind w:left="146" w:right="222"/>
        <w:jc w:val="both"/>
      </w:pPr>
      <w:r w:rsidRPr="009E4459">
        <w:t>The</w:t>
      </w:r>
      <w:r w:rsidRPr="009E4459">
        <w:rPr>
          <w:spacing w:val="-10"/>
        </w:rPr>
        <w:t xml:space="preserve"> </w:t>
      </w:r>
      <w:r w:rsidRPr="009E4459">
        <w:t>projects</w:t>
      </w:r>
      <w:r w:rsidRPr="009E4459">
        <w:rPr>
          <w:spacing w:val="-9"/>
        </w:rPr>
        <w:t xml:space="preserve"> </w:t>
      </w:r>
      <w:r w:rsidRPr="009E4459">
        <w:t>mentioned</w:t>
      </w:r>
      <w:r w:rsidRPr="009E4459">
        <w:rPr>
          <w:spacing w:val="-8"/>
        </w:rPr>
        <w:t xml:space="preserve"> </w:t>
      </w:r>
      <w:r w:rsidRPr="009E4459">
        <w:t>in</w:t>
      </w:r>
      <w:r w:rsidRPr="009E4459">
        <w:rPr>
          <w:spacing w:val="-10"/>
        </w:rPr>
        <w:t xml:space="preserve"> </w:t>
      </w:r>
      <w:r w:rsidRPr="009E4459">
        <w:t>this</w:t>
      </w:r>
      <w:r w:rsidRPr="009E4459">
        <w:rPr>
          <w:spacing w:val="-12"/>
        </w:rPr>
        <w:t xml:space="preserve"> </w:t>
      </w:r>
      <w:r w:rsidRPr="009E4459">
        <w:t>report</w:t>
      </w:r>
      <w:r w:rsidRPr="009E4459">
        <w:rPr>
          <w:spacing w:val="-9"/>
        </w:rPr>
        <w:t xml:space="preserve"> </w:t>
      </w:r>
      <w:r w:rsidRPr="009E4459">
        <w:t>are</w:t>
      </w:r>
      <w:r w:rsidRPr="009E4459">
        <w:rPr>
          <w:spacing w:val="-11"/>
        </w:rPr>
        <w:t xml:space="preserve"> </w:t>
      </w:r>
      <w:r w:rsidRPr="009E4459">
        <w:t>intrinsically</w:t>
      </w:r>
      <w:r w:rsidRPr="009E4459">
        <w:rPr>
          <w:spacing w:val="-11"/>
        </w:rPr>
        <w:t xml:space="preserve"> </w:t>
      </w:r>
      <w:r w:rsidRPr="009E4459">
        <w:t>linked</w:t>
      </w:r>
      <w:r w:rsidRPr="009E4459">
        <w:rPr>
          <w:spacing w:val="-8"/>
        </w:rPr>
        <w:t xml:space="preserve"> </w:t>
      </w:r>
      <w:r w:rsidRPr="009E4459">
        <w:t>to</w:t>
      </w:r>
      <w:r w:rsidRPr="009E4459">
        <w:rPr>
          <w:spacing w:val="-9"/>
        </w:rPr>
        <w:t xml:space="preserve"> </w:t>
      </w:r>
      <w:r w:rsidRPr="009E4459">
        <w:t>the</w:t>
      </w:r>
      <w:r w:rsidRPr="009E4459">
        <w:rPr>
          <w:spacing w:val="-9"/>
        </w:rPr>
        <w:t xml:space="preserve"> </w:t>
      </w:r>
      <w:r w:rsidRPr="009E4459">
        <w:t>Authority’s</w:t>
      </w:r>
      <w:r w:rsidRPr="009E4459">
        <w:rPr>
          <w:spacing w:val="-9"/>
        </w:rPr>
        <w:t xml:space="preserve"> </w:t>
      </w:r>
      <w:r w:rsidRPr="009E4459">
        <w:t>Joint</w:t>
      </w:r>
      <w:r w:rsidRPr="009E4459">
        <w:rPr>
          <w:spacing w:val="-14"/>
        </w:rPr>
        <w:t xml:space="preserve"> </w:t>
      </w:r>
      <w:r w:rsidRPr="009E4459">
        <w:t>Waste</w:t>
      </w:r>
      <w:r w:rsidRPr="009E4459">
        <w:rPr>
          <w:spacing w:val="-13"/>
        </w:rPr>
        <w:t xml:space="preserve"> </w:t>
      </w:r>
      <w:r w:rsidRPr="009E4459">
        <w:t>Management</w:t>
      </w:r>
      <w:r w:rsidRPr="009E4459">
        <w:rPr>
          <w:spacing w:val="-64"/>
        </w:rPr>
        <w:t xml:space="preserve"> </w:t>
      </w:r>
      <w:r w:rsidRPr="009E4459">
        <w:t>Strategy. The projects are driving the design of the new policy through data, best practice and</w:t>
      </w:r>
      <w:r w:rsidRPr="009E4459">
        <w:rPr>
          <w:spacing w:val="1"/>
        </w:rPr>
        <w:t xml:space="preserve"> </w:t>
      </w:r>
      <w:r w:rsidRPr="009E4459">
        <w:t>identification</w:t>
      </w:r>
      <w:r w:rsidRPr="009E4459">
        <w:rPr>
          <w:spacing w:val="-8"/>
        </w:rPr>
        <w:t xml:space="preserve"> </w:t>
      </w:r>
      <w:r w:rsidRPr="009E4459">
        <w:t>of</w:t>
      </w:r>
      <w:r w:rsidRPr="009E4459">
        <w:rPr>
          <w:spacing w:val="-6"/>
        </w:rPr>
        <w:t xml:space="preserve"> </w:t>
      </w:r>
      <w:r w:rsidRPr="009E4459">
        <w:t>opportunities</w:t>
      </w:r>
      <w:r w:rsidR="00A87979" w:rsidRPr="009E4459">
        <w:t>,</w:t>
      </w:r>
      <w:r w:rsidRPr="009E4459">
        <w:rPr>
          <w:spacing w:val="-9"/>
        </w:rPr>
        <w:t xml:space="preserve"> </w:t>
      </w:r>
      <w:r w:rsidRPr="009E4459">
        <w:t>as</w:t>
      </w:r>
      <w:r w:rsidRPr="009E4459">
        <w:rPr>
          <w:spacing w:val="-9"/>
        </w:rPr>
        <w:t xml:space="preserve"> </w:t>
      </w:r>
      <w:r w:rsidRPr="009E4459">
        <w:t>well</w:t>
      </w:r>
      <w:r w:rsidRPr="009E4459">
        <w:rPr>
          <w:spacing w:val="-8"/>
        </w:rPr>
        <w:t xml:space="preserve"> </w:t>
      </w:r>
      <w:r w:rsidRPr="009E4459">
        <w:t>as</w:t>
      </w:r>
      <w:r w:rsidRPr="009E4459">
        <w:rPr>
          <w:spacing w:val="-7"/>
        </w:rPr>
        <w:t xml:space="preserve"> </w:t>
      </w:r>
      <w:r w:rsidRPr="009E4459">
        <w:t>delivering</w:t>
      </w:r>
      <w:r w:rsidRPr="009E4459">
        <w:rPr>
          <w:spacing w:val="-7"/>
        </w:rPr>
        <w:t xml:space="preserve"> </w:t>
      </w:r>
      <w:r w:rsidRPr="009E4459">
        <w:t>change</w:t>
      </w:r>
      <w:r w:rsidRPr="009E4459">
        <w:rPr>
          <w:spacing w:val="-8"/>
        </w:rPr>
        <w:t xml:space="preserve"> </w:t>
      </w:r>
      <w:r w:rsidRPr="009E4459">
        <w:t>to</w:t>
      </w:r>
      <w:r w:rsidRPr="009E4459">
        <w:rPr>
          <w:spacing w:val="-10"/>
        </w:rPr>
        <w:t xml:space="preserve"> </w:t>
      </w:r>
      <w:r w:rsidRPr="009E4459">
        <w:t>meet</w:t>
      </w:r>
      <w:r w:rsidRPr="009E4459">
        <w:rPr>
          <w:spacing w:val="-6"/>
        </w:rPr>
        <w:t xml:space="preserve"> </w:t>
      </w:r>
      <w:r w:rsidRPr="009E4459">
        <w:t>the</w:t>
      </w:r>
      <w:r w:rsidRPr="009E4459">
        <w:rPr>
          <w:spacing w:val="-8"/>
        </w:rPr>
        <w:t xml:space="preserve"> </w:t>
      </w:r>
      <w:r w:rsidRPr="009E4459">
        <w:t>desired</w:t>
      </w:r>
      <w:r w:rsidRPr="009E4459">
        <w:rPr>
          <w:spacing w:val="-8"/>
        </w:rPr>
        <w:t xml:space="preserve"> </w:t>
      </w:r>
      <w:r w:rsidRPr="009E4459">
        <w:t>outcomes</w:t>
      </w:r>
      <w:r w:rsidRPr="009E4459">
        <w:rPr>
          <w:spacing w:val="-8"/>
        </w:rPr>
        <w:t xml:space="preserve"> </w:t>
      </w:r>
      <w:r w:rsidRPr="009E4459">
        <w:t>and</w:t>
      </w:r>
      <w:r w:rsidRPr="009E4459">
        <w:rPr>
          <w:spacing w:val="-8"/>
        </w:rPr>
        <w:t xml:space="preserve"> </w:t>
      </w:r>
      <w:r w:rsidRPr="009E4459">
        <w:t>targets</w:t>
      </w:r>
      <w:r w:rsidRPr="009E4459">
        <w:rPr>
          <w:spacing w:val="-6"/>
        </w:rPr>
        <w:t xml:space="preserve"> </w:t>
      </w:r>
      <w:r w:rsidRPr="009E4459">
        <w:t>in</w:t>
      </w:r>
      <w:r w:rsidRPr="009E4459">
        <w:rPr>
          <w:spacing w:val="-64"/>
        </w:rPr>
        <w:t xml:space="preserve"> </w:t>
      </w:r>
      <w:r w:rsidRPr="009E4459">
        <w:t>the</w:t>
      </w:r>
      <w:r w:rsidRPr="009E4459">
        <w:rPr>
          <w:spacing w:val="-1"/>
        </w:rPr>
        <w:t xml:space="preserve"> </w:t>
      </w:r>
      <w:r w:rsidRPr="009E4459">
        <w:t>Strategy.</w:t>
      </w:r>
    </w:p>
    <w:p w14:paraId="7EE80E4D" w14:textId="77777777" w:rsidR="003B531D" w:rsidRDefault="003B531D">
      <w:pPr>
        <w:pStyle w:val="BodyText"/>
        <w:spacing w:before="120"/>
        <w:ind w:left="146" w:right="222"/>
        <w:jc w:val="both"/>
      </w:pP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14:paraId="67380D2B" w14:textId="77777777">
        <w:trPr>
          <w:trHeight w:val="1656"/>
        </w:trPr>
        <w:tc>
          <w:tcPr>
            <w:tcW w:w="2410" w:type="dxa"/>
          </w:tcPr>
          <w:p w14:paraId="46229D41" w14:textId="77777777" w:rsidR="0082498B" w:rsidRDefault="00053B29">
            <w:pPr>
              <w:pStyle w:val="TableParagraph"/>
              <w:spacing w:before="118"/>
              <w:ind w:left="107"/>
              <w:rPr>
                <w:rFonts w:ascii="Arial"/>
                <w:sz w:val="24"/>
              </w:rPr>
            </w:pPr>
            <w:r>
              <w:rPr>
                <w:rFonts w:ascii="Arial"/>
                <w:sz w:val="24"/>
              </w:rPr>
              <w:t>Contact</w:t>
            </w:r>
            <w:r>
              <w:rPr>
                <w:rFonts w:ascii="Arial"/>
                <w:spacing w:val="-1"/>
                <w:sz w:val="24"/>
              </w:rPr>
              <w:t xml:space="preserve"> </w:t>
            </w:r>
            <w:r>
              <w:rPr>
                <w:rFonts w:ascii="Arial"/>
                <w:sz w:val="24"/>
              </w:rPr>
              <w:t>Officers</w:t>
            </w:r>
          </w:p>
        </w:tc>
        <w:tc>
          <w:tcPr>
            <w:tcW w:w="7941" w:type="dxa"/>
          </w:tcPr>
          <w:p w14:paraId="38F7A972" w14:textId="0048993F" w:rsidR="0082498B" w:rsidRDefault="00053B29">
            <w:pPr>
              <w:pStyle w:val="TableParagraph"/>
              <w:tabs>
                <w:tab w:val="right" w:pos="6687"/>
              </w:tabs>
              <w:spacing w:line="274" w:lineRule="exact"/>
              <w:ind w:left="107"/>
              <w:rPr>
                <w:rFonts w:ascii="Arial"/>
                <w:sz w:val="24"/>
              </w:rPr>
            </w:pPr>
            <w:r>
              <w:rPr>
                <w:rFonts w:ascii="Arial"/>
                <w:sz w:val="24"/>
              </w:rPr>
              <w:t>Peter</w:t>
            </w:r>
            <w:r>
              <w:rPr>
                <w:rFonts w:ascii="Arial"/>
                <w:spacing w:val="-4"/>
                <w:sz w:val="24"/>
              </w:rPr>
              <w:t xml:space="preserve"> </w:t>
            </w:r>
            <w:r>
              <w:rPr>
                <w:rFonts w:ascii="Arial"/>
                <w:sz w:val="24"/>
              </w:rPr>
              <w:t>Tilston, Projects</w:t>
            </w:r>
            <w:r>
              <w:rPr>
                <w:rFonts w:ascii="Arial"/>
                <w:spacing w:val="-2"/>
                <w:sz w:val="24"/>
              </w:rPr>
              <w:t xml:space="preserve"> </w:t>
            </w:r>
            <w:r>
              <w:rPr>
                <w:rFonts w:ascii="Arial"/>
                <w:sz w:val="24"/>
              </w:rPr>
              <w:t>Director</w:t>
            </w:r>
            <w:r w:rsidR="00125936">
              <w:rPr>
                <w:rFonts w:ascii="Arial"/>
                <w:sz w:val="24"/>
              </w:rPr>
              <w:t xml:space="preserve">                            </w:t>
            </w:r>
            <w:r w:rsidR="00125936" w:rsidRPr="00125936">
              <w:rPr>
                <w:rFonts w:ascii="Arial"/>
                <w:sz w:val="24"/>
              </w:rPr>
              <w:t>07796 271</w:t>
            </w:r>
            <w:r w:rsidR="00125936">
              <w:rPr>
                <w:rFonts w:ascii="Arial"/>
                <w:sz w:val="24"/>
              </w:rPr>
              <w:t xml:space="preserve"> </w:t>
            </w:r>
            <w:r w:rsidR="00125936" w:rsidRPr="00125936">
              <w:rPr>
                <w:rFonts w:ascii="Arial"/>
                <w:sz w:val="24"/>
              </w:rPr>
              <w:t>713</w:t>
            </w:r>
          </w:p>
          <w:p w14:paraId="102C444C" w14:textId="71CAAAD4" w:rsidR="0082498B" w:rsidRDefault="0068533E">
            <w:pPr>
              <w:pStyle w:val="TableParagraph"/>
              <w:ind w:left="107"/>
              <w:rPr>
                <w:rFonts w:ascii="Arial"/>
                <w:color w:val="0000FF"/>
                <w:sz w:val="24"/>
                <w:u w:val="single" w:color="0000FF"/>
              </w:rPr>
            </w:pPr>
            <w:hyperlink r:id="rId12">
              <w:r w:rsidR="00053B29">
                <w:rPr>
                  <w:rFonts w:ascii="Arial"/>
                  <w:color w:val="0000FF"/>
                  <w:sz w:val="24"/>
                  <w:u w:val="single" w:color="0000FF"/>
                </w:rPr>
                <w:t>petertilston@westlondonwaste.gov.uk</w:t>
              </w:r>
            </w:hyperlink>
          </w:p>
          <w:p w14:paraId="07086847" w14:textId="77777777" w:rsidR="00A87979" w:rsidRDefault="00A87979">
            <w:pPr>
              <w:pStyle w:val="TableParagraph"/>
              <w:ind w:left="107"/>
              <w:rPr>
                <w:rFonts w:ascii="Arial"/>
                <w:sz w:val="24"/>
              </w:rPr>
            </w:pPr>
          </w:p>
          <w:p w14:paraId="0F6C3DA1" w14:textId="148382A0" w:rsidR="009A39DA" w:rsidRDefault="009A39DA">
            <w:pPr>
              <w:pStyle w:val="TableParagraph"/>
              <w:ind w:left="107"/>
              <w:rPr>
                <w:rFonts w:ascii="Arial"/>
                <w:sz w:val="24"/>
              </w:rPr>
            </w:pPr>
            <w:r>
              <w:rPr>
                <w:rFonts w:ascii="Arial"/>
                <w:sz w:val="24"/>
              </w:rPr>
              <w:t xml:space="preserve">Motoko Doolan, </w:t>
            </w:r>
            <w:r w:rsidR="00125936">
              <w:rPr>
                <w:rFonts w:ascii="Arial"/>
                <w:sz w:val="24"/>
              </w:rPr>
              <w:t xml:space="preserve">Net Zero </w:t>
            </w:r>
            <w:r>
              <w:rPr>
                <w:rFonts w:ascii="Arial"/>
                <w:sz w:val="24"/>
              </w:rPr>
              <w:t>Carbon Manager</w:t>
            </w:r>
            <w:r w:rsidR="00125936">
              <w:rPr>
                <w:rFonts w:ascii="Arial"/>
                <w:sz w:val="24"/>
              </w:rPr>
              <w:t xml:space="preserve">        </w:t>
            </w:r>
            <w:r w:rsidR="00125936" w:rsidRPr="00125936">
              <w:rPr>
                <w:rFonts w:ascii="Arial"/>
                <w:sz w:val="24"/>
              </w:rPr>
              <w:t xml:space="preserve">07917 075 876  </w:t>
            </w:r>
          </w:p>
          <w:p w14:paraId="361EBBE3" w14:textId="1BD56753" w:rsidR="009A39DA" w:rsidRDefault="0068533E">
            <w:pPr>
              <w:pStyle w:val="TableParagraph"/>
              <w:ind w:left="107"/>
              <w:rPr>
                <w:rFonts w:ascii="Arial"/>
                <w:sz w:val="24"/>
              </w:rPr>
            </w:pPr>
            <w:hyperlink r:id="rId13" w:history="1">
              <w:r w:rsidR="009A39DA" w:rsidRPr="006D3388">
                <w:rPr>
                  <w:rStyle w:val="Hyperlink"/>
                  <w:rFonts w:ascii="Arial"/>
                  <w:sz w:val="24"/>
                </w:rPr>
                <w:t>motokodoolan@westlondonwaste.gov.uk</w:t>
              </w:r>
            </w:hyperlink>
            <w:r w:rsidR="009A39DA">
              <w:rPr>
                <w:rFonts w:ascii="Arial"/>
                <w:sz w:val="24"/>
              </w:rPr>
              <w:t xml:space="preserve"> </w:t>
            </w:r>
          </w:p>
          <w:p w14:paraId="794AC5FB" w14:textId="77777777" w:rsidR="009A39DA" w:rsidRDefault="009A39DA">
            <w:pPr>
              <w:pStyle w:val="TableParagraph"/>
              <w:ind w:left="107"/>
              <w:rPr>
                <w:rFonts w:ascii="Arial"/>
                <w:sz w:val="24"/>
              </w:rPr>
            </w:pPr>
          </w:p>
          <w:p w14:paraId="1A280A94" w14:textId="7C2BB77C" w:rsidR="000B5E6A" w:rsidRDefault="000B5E6A">
            <w:pPr>
              <w:pStyle w:val="TableParagraph"/>
              <w:ind w:left="107"/>
              <w:rPr>
                <w:rFonts w:ascii="Arial"/>
                <w:sz w:val="24"/>
              </w:rPr>
            </w:pPr>
            <w:r>
              <w:rPr>
                <w:rFonts w:ascii="Arial"/>
                <w:sz w:val="24"/>
              </w:rPr>
              <w:t>Sarah Ellis,</w:t>
            </w:r>
            <w:r w:rsidR="00802C97">
              <w:rPr>
                <w:rFonts w:ascii="Arial"/>
                <w:sz w:val="24"/>
              </w:rPr>
              <w:t xml:space="preserve"> Strategic Development Lead</w:t>
            </w:r>
            <w:r>
              <w:rPr>
                <w:rFonts w:ascii="Arial"/>
                <w:sz w:val="24"/>
              </w:rPr>
              <w:tab/>
              <w:t xml:space="preserve">  07584 631</w:t>
            </w:r>
            <w:r w:rsidR="00125936">
              <w:rPr>
                <w:rFonts w:ascii="Arial"/>
                <w:sz w:val="24"/>
              </w:rPr>
              <w:t xml:space="preserve"> </w:t>
            </w:r>
            <w:r>
              <w:rPr>
                <w:rFonts w:ascii="Arial"/>
                <w:sz w:val="24"/>
              </w:rPr>
              <w:t>710</w:t>
            </w:r>
          </w:p>
          <w:p w14:paraId="0D44CED6" w14:textId="6E248DB7" w:rsidR="0082498B" w:rsidRDefault="0068533E">
            <w:pPr>
              <w:pStyle w:val="TableParagraph"/>
              <w:ind w:left="107"/>
              <w:rPr>
                <w:rFonts w:ascii="Arial"/>
                <w:sz w:val="24"/>
              </w:rPr>
            </w:pPr>
            <w:hyperlink r:id="rId14" w:history="1">
              <w:r w:rsidR="000B5E6A" w:rsidRPr="006817F8">
                <w:rPr>
                  <w:rStyle w:val="Hyperlink"/>
                  <w:rFonts w:ascii="Arial"/>
                  <w:sz w:val="24"/>
                </w:rPr>
                <w:t>sarahellis@westlondonwaste.gov.uk</w:t>
              </w:r>
            </w:hyperlink>
            <w:r w:rsidR="000B5E6A">
              <w:rPr>
                <w:rFonts w:ascii="Arial"/>
                <w:sz w:val="24"/>
              </w:rPr>
              <w:tab/>
            </w:r>
            <w:r w:rsidR="000B5E6A">
              <w:rPr>
                <w:rFonts w:ascii="Arial"/>
                <w:sz w:val="24"/>
              </w:rPr>
              <w:tab/>
            </w:r>
          </w:p>
          <w:p w14:paraId="07F1EDAF" w14:textId="472EB6AC" w:rsidR="0082498B" w:rsidRDefault="0082498B" w:rsidP="002C10DA">
            <w:pPr>
              <w:pStyle w:val="TableParagraph"/>
              <w:tabs>
                <w:tab w:val="right" w:pos="6684"/>
              </w:tabs>
              <w:rPr>
                <w:rFonts w:ascii="Arial"/>
                <w:sz w:val="24"/>
              </w:rPr>
            </w:pPr>
          </w:p>
        </w:tc>
      </w:tr>
    </w:tbl>
    <w:p w14:paraId="1F38E8B0" w14:textId="5CAFBCDF" w:rsidR="0040493F" w:rsidRDefault="0040493F" w:rsidP="00EF453B">
      <w:pPr>
        <w:spacing w:before="75"/>
        <w:jc w:val="both"/>
      </w:pPr>
    </w:p>
    <w:p w14:paraId="5CEDA54E" w14:textId="0C289841" w:rsidR="009F4EAF" w:rsidRPr="009F4EAF" w:rsidRDefault="009F4EAF" w:rsidP="00EF453B">
      <w:pPr>
        <w:spacing w:before="75"/>
        <w:jc w:val="both"/>
        <w:rPr>
          <w:b/>
          <w:bCs/>
        </w:rPr>
      </w:pPr>
    </w:p>
    <w:p w14:paraId="330CFC24" w14:textId="21797B1E" w:rsidR="009F4EAF" w:rsidRDefault="009F4EAF" w:rsidP="00EF453B">
      <w:pPr>
        <w:spacing w:before="75"/>
        <w:jc w:val="both"/>
      </w:pPr>
    </w:p>
    <w:sectPr w:rsidR="009F4EAF" w:rsidSect="006B0B6D">
      <w:pgSz w:w="11910" w:h="16850"/>
      <w:pgMar w:top="1281" w:right="459" w:bottom="278" w:left="4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multilevel"/>
    <w:tmpl w:val="0809001F"/>
    <w:lvl w:ilvl="0">
      <w:start w:val="1"/>
      <w:numFmt w:val="decimal"/>
      <w:lvlText w:val="%1."/>
      <w:lvlJc w:val="left"/>
      <w:pPr>
        <w:ind w:left="360" w:hanging="360"/>
      </w:pPr>
      <w:rPr>
        <w:rFonts w:hint="default"/>
        <w:w w:val="100"/>
        <w:lang w:val="en-GB" w:eastAsia="en-US" w:bidi="ar-SA"/>
      </w:rPr>
    </w:lvl>
    <w:lvl w:ilvl="1">
      <w:start w:val="1"/>
      <w:numFmt w:val="decimal"/>
      <w:lvlText w:val="%1.%2."/>
      <w:lvlJc w:val="left"/>
      <w:pPr>
        <w:ind w:left="792" w:hanging="432"/>
      </w:pPr>
      <w:rPr>
        <w:rFonts w:hint="default"/>
        <w:b w:val="0"/>
        <w:bCs w:val="0"/>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0DC44A61"/>
    <w:multiLevelType w:val="hybridMultilevel"/>
    <w:tmpl w:val="82D230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EF622A3"/>
    <w:multiLevelType w:val="hybridMultilevel"/>
    <w:tmpl w:val="F3E66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C642CAA"/>
    <w:multiLevelType w:val="hybridMultilevel"/>
    <w:tmpl w:val="780A873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619D0B1E"/>
    <w:multiLevelType w:val="hybridMultilevel"/>
    <w:tmpl w:val="60644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11"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12"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abstractNumId w:val="11"/>
  </w:num>
  <w:num w:numId="2">
    <w:abstractNumId w:val="1"/>
  </w:num>
  <w:num w:numId="3">
    <w:abstractNumId w:val="12"/>
  </w:num>
  <w:num w:numId="4">
    <w:abstractNumId w:val="2"/>
  </w:num>
  <w:num w:numId="5">
    <w:abstractNumId w:val="10"/>
  </w:num>
  <w:num w:numId="6">
    <w:abstractNumId w:val="7"/>
  </w:num>
  <w:num w:numId="7">
    <w:abstractNumId w:val="0"/>
  </w:num>
  <w:num w:numId="8">
    <w:abstractNumId w:val="5"/>
  </w:num>
  <w:num w:numId="9">
    <w:abstractNumId w:val="6"/>
  </w:num>
  <w:num w:numId="10">
    <w:abstractNumId w:val="4"/>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158D9"/>
    <w:rsid w:val="000304F7"/>
    <w:rsid w:val="000420D5"/>
    <w:rsid w:val="00053B29"/>
    <w:rsid w:val="00057DE8"/>
    <w:rsid w:val="000754CF"/>
    <w:rsid w:val="000835B7"/>
    <w:rsid w:val="00087CF9"/>
    <w:rsid w:val="000938C9"/>
    <w:rsid w:val="0009398F"/>
    <w:rsid w:val="000B5E6A"/>
    <w:rsid w:val="000C3773"/>
    <w:rsid w:val="000E6BA2"/>
    <w:rsid w:val="000F6FD3"/>
    <w:rsid w:val="001018C7"/>
    <w:rsid w:val="001121DC"/>
    <w:rsid w:val="00125936"/>
    <w:rsid w:val="001507CA"/>
    <w:rsid w:val="00156E2F"/>
    <w:rsid w:val="00160ACC"/>
    <w:rsid w:val="0019022F"/>
    <w:rsid w:val="001905CE"/>
    <w:rsid w:val="001B72B7"/>
    <w:rsid w:val="001C631E"/>
    <w:rsid w:val="002609F8"/>
    <w:rsid w:val="002C10DA"/>
    <w:rsid w:val="002C14A4"/>
    <w:rsid w:val="002C7E23"/>
    <w:rsid w:val="002E2702"/>
    <w:rsid w:val="003145CD"/>
    <w:rsid w:val="00323EB4"/>
    <w:rsid w:val="003242EE"/>
    <w:rsid w:val="003421EF"/>
    <w:rsid w:val="00346AE7"/>
    <w:rsid w:val="003828A1"/>
    <w:rsid w:val="003A3688"/>
    <w:rsid w:val="003B531D"/>
    <w:rsid w:val="003F028A"/>
    <w:rsid w:val="003F0548"/>
    <w:rsid w:val="003F7F75"/>
    <w:rsid w:val="00400659"/>
    <w:rsid w:val="0040493F"/>
    <w:rsid w:val="00405477"/>
    <w:rsid w:val="0041713B"/>
    <w:rsid w:val="004516EF"/>
    <w:rsid w:val="00456DAD"/>
    <w:rsid w:val="004C3F2E"/>
    <w:rsid w:val="004C5E6A"/>
    <w:rsid w:val="004E048A"/>
    <w:rsid w:val="00525BC1"/>
    <w:rsid w:val="00530844"/>
    <w:rsid w:val="00536656"/>
    <w:rsid w:val="005C449A"/>
    <w:rsid w:val="005D1B71"/>
    <w:rsid w:val="005D47E7"/>
    <w:rsid w:val="005E7D66"/>
    <w:rsid w:val="005F2AEB"/>
    <w:rsid w:val="005F6A6D"/>
    <w:rsid w:val="0060215A"/>
    <w:rsid w:val="0062559A"/>
    <w:rsid w:val="00627F6E"/>
    <w:rsid w:val="00660612"/>
    <w:rsid w:val="00666173"/>
    <w:rsid w:val="00690255"/>
    <w:rsid w:val="006B0B6D"/>
    <w:rsid w:val="006C284A"/>
    <w:rsid w:val="006D013F"/>
    <w:rsid w:val="006F5900"/>
    <w:rsid w:val="006F7861"/>
    <w:rsid w:val="00702D1E"/>
    <w:rsid w:val="00745AAA"/>
    <w:rsid w:val="007502F7"/>
    <w:rsid w:val="00761CEC"/>
    <w:rsid w:val="00767C1A"/>
    <w:rsid w:val="007C1928"/>
    <w:rsid w:val="007C2406"/>
    <w:rsid w:val="007D1818"/>
    <w:rsid w:val="007D46AF"/>
    <w:rsid w:val="007E24EA"/>
    <w:rsid w:val="007E6A83"/>
    <w:rsid w:val="00802C97"/>
    <w:rsid w:val="00803C39"/>
    <w:rsid w:val="0082498B"/>
    <w:rsid w:val="0082603A"/>
    <w:rsid w:val="00847B0C"/>
    <w:rsid w:val="00870A28"/>
    <w:rsid w:val="008746CA"/>
    <w:rsid w:val="00887DF7"/>
    <w:rsid w:val="008C1548"/>
    <w:rsid w:val="008C6EC6"/>
    <w:rsid w:val="008E186A"/>
    <w:rsid w:val="008E5CF0"/>
    <w:rsid w:val="0092510B"/>
    <w:rsid w:val="00927CB5"/>
    <w:rsid w:val="009723F5"/>
    <w:rsid w:val="009750CE"/>
    <w:rsid w:val="009A39DA"/>
    <w:rsid w:val="009B526D"/>
    <w:rsid w:val="009E4459"/>
    <w:rsid w:val="009E72DB"/>
    <w:rsid w:val="009F4EAF"/>
    <w:rsid w:val="00A14497"/>
    <w:rsid w:val="00A1676D"/>
    <w:rsid w:val="00A34E95"/>
    <w:rsid w:val="00A535D8"/>
    <w:rsid w:val="00A601FC"/>
    <w:rsid w:val="00A71864"/>
    <w:rsid w:val="00A86707"/>
    <w:rsid w:val="00A87979"/>
    <w:rsid w:val="00A942D4"/>
    <w:rsid w:val="00AA23B4"/>
    <w:rsid w:val="00AA7B92"/>
    <w:rsid w:val="00AB3F11"/>
    <w:rsid w:val="00AC4D11"/>
    <w:rsid w:val="00AD657F"/>
    <w:rsid w:val="00B236CE"/>
    <w:rsid w:val="00B701F1"/>
    <w:rsid w:val="00B90233"/>
    <w:rsid w:val="00B92670"/>
    <w:rsid w:val="00B926A1"/>
    <w:rsid w:val="00BB7A6F"/>
    <w:rsid w:val="00BD6499"/>
    <w:rsid w:val="00BF7E3F"/>
    <w:rsid w:val="00C23329"/>
    <w:rsid w:val="00C54D4C"/>
    <w:rsid w:val="00C56E32"/>
    <w:rsid w:val="00C75A47"/>
    <w:rsid w:val="00C76B1F"/>
    <w:rsid w:val="00C82023"/>
    <w:rsid w:val="00C82C32"/>
    <w:rsid w:val="00CA5D99"/>
    <w:rsid w:val="00CE3516"/>
    <w:rsid w:val="00CF27DF"/>
    <w:rsid w:val="00D03EB7"/>
    <w:rsid w:val="00D05240"/>
    <w:rsid w:val="00D24EE3"/>
    <w:rsid w:val="00D32CB5"/>
    <w:rsid w:val="00D95A17"/>
    <w:rsid w:val="00DB2CF1"/>
    <w:rsid w:val="00DC072D"/>
    <w:rsid w:val="00DC32F0"/>
    <w:rsid w:val="00DD651F"/>
    <w:rsid w:val="00E0168F"/>
    <w:rsid w:val="00E0665A"/>
    <w:rsid w:val="00E261E4"/>
    <w:rsid w:val="00E311F8"/>
    <w:rsid w:val="00E90694"/>
    <w:rsid w:val="00E96DAB"/>
    <w:rsid w:val="00EE0B55"/>
    <w:rsid w:val="00EE2B11"/>
    <w:rsid w:val="00EE6AEE"/>
    <w:rsid w:val="00EF453B"/>
    <w:rsid w:val="00F25D32"/>
    <w:rsid w:val="00F26A6C"/>
    <w:rsid w:val="00F52144"/>
    <w:rsid w:val="00F60FE3"/>
    <w:rsid w:val="00F63AFC"/>
    <w:rsid w:val="00F71189"/>
    <w:rsid w:val="00F867E9"/>
    <w:rsid w:val="00FA255C"/>
    <w:rsid w:val="00FA49F6"/>
    <w:rsid w:val="00FC6847"/>
    <w:rsid w:val="00FD0E69"/>
    <w:rsid w:val="00FE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3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1E4"/>
    <w:rPr>
      <w:sz w:val="16"/>
      <w:szCs w:val="16"/>
    </w:rPr>
  </w:style>
  <w:style w:type="paragraph" w:styleId="CommentText">
    <w:name w:val="annotation text"/>
    <w:basedOn w:val="Normal"/>
    <w:link w:val="CommentTextChar"/>
    <w:uiPriority w:val="99"/>
    <w:semiHidden/>
    <w:unhideWhenUsed/>
    <w:rsid w:val="00E261E4"/>
    <w:rPr>
      <w:sz w:val="20"/>
      <w:szCs w:val="20"/>
    </w:rPr>
  </w:style>
  <w:style w:type="character" w:customStyle="1" w:styleId="CommentTextChar">
    <w:name w:val="Comment Text Char"/>
    <w:basedOn w:val="DefaultParagraphFont"/>
    <w:link w:val="CommentText"/>
    <w:uiPriority w:val="99"/>
    <w:semiHidden/>
    <w:rsid w:val="00E261E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261E4"/>
    <w:rPr>
      <w:b/>
      <w:bCs/>
    </w:rPr>
  </w:style>
  <w:style w:type="character" w:customStyle="1" w:styleId="CommentSubjectChar">
    <w:name w:val="Comment Subject Char"/>
    <w:basedOn w:val="CommentTextChar"/>
    <w:link w:val="CommentSubject"/>
    <w:uiPriority w:val="99"/>
    <w:semiHidden/>
    <w:rsid w:val="00E261E4"/>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E26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E4"/>
    <w:rPr>
      <w:rFonts w:ascii="Segoe UI" w:eastAsia="Arial" w:hAnsi="Segoe UI" w:cs="Segoe UI"/>
      <w:sz w:val="18"/>
      <w:szCs w:val="18"/>
      <w:lang w:val="en-GB"/>
    </w:rPr>
  </w:style>
  <w:style w:type="character" w:customStyle="1" w:styleId="UnresolvedMention2">
    <w:name w:val="Unresolved Mention2"/>
    <w:basedOn w:val="DefaultParagraphFont"/>
    <w:uiPriority w:val="99"/>
    <w:semiHidden/>
    <w:unhideWhenUsed/>
    <w:rsid w:val="00AD657F"/>
    <w:rPr>
      <w:color w:val="605E5C"/>
      <w:shd w:val="clear" w:color="auto" w:fill="E1DFDD"/>
    </w:rPr>
  </w:style>
  <w:style w:type="paragraph" w:styleId="Subtitle">
    <w:name w:val="Subtitle"/>
    <w:basedOn w:val="Normal"/>
    <w:next w:val="Normal"/>
    <w:link w:val="SubtitleChar"/>
    <w:uiPriority w:val="11"/>
    <w:qFormat/>
    <w:rsid w:val="00CF27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7DF"/>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tokodoolan@westlondonwast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tilston@westlondonwast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xingfactory.org/visit/br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sarahellis@westlondon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919617CD1CCE4D828F7CB8F79F4999" ma:contentTypeVersion="14" ma:contentTypeDescription="Create a new document." ma:contentTypeScope="" ma:versionID="109497051e1f27b6aeaa59cc706d2e84">
  <xsd:schema xmlns:xsd="http://www.w3.org/2001/XMLSchema" xmlns:xs="http://www.w3.org/2001/XMLSchema" xmlns:p="http://schemas.microsoft.com/office/2006/metadata/properties" xmlns:ns3="ce30a8b6-690b-4fb4-bb74-d8f0ee2e935f" xmlns:ns4="3482b747-53f4-4157-b700-49f8c7a2d410" targetNamespace="http://schemas.microsoft.com/office/2006/metadata/properties" ma:root="true" ma:fieldsID="33632d40506bb7f946c29135ca6e61eb" ns3:_="" ns4:_="">
    <xsd:import namespace="ce30a8b6-690b-4fb4-bb74-d8f0ee2e935f"/>
    <xsd:import namespace="3482b747-53f4-4157-b700-49f8c7a2d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a8b6-690b-4fb4-bb74-d8f0ee2e9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b747-53f4-4157-b700-49f8c7a2d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CA68-C19C-4DEA-B0A1-557F6A962746}">
  <ds:schemaRefs>
    <ds:schemaRef ds:uri="http://purl.org/dc/elements/1.1/"/>
    <ds:schemaRef ds:uri="http://schemas.microsoft.com/office/2006/metadata/properties"/>
    <ds:schemaRef ds:uri="3482b747-53f4-4157-b700-49f8c7a2d41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e30a8b6-690b-4fb4-bb74-d8f0ee2e935f"/>
    <ds:schemaRef ds:uri="http://www.w3.org/XML/1998/namespace"/>
    <ds:schemaRef ds:uri="http://purl.org/dc/dcmitype/"/>
  </ds:schemaRefs>
</ds:datastoreItem>
</file>

<file path=customXml/itemProps2.xml><?xml version="1.0" encoding="utf-8"?>
<ds:datastoreItem xmlns:ds="http://schemas.openxmlformats.org/officeDocument/2006/customXml" ds:itemID="{C599805D-1820-4EEC-A8E8-2619B55E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a8b6-690b-4fb4-bb74-d8f0ee2e935f"/>
    <ds:schemaRef ds:uri="3482b747-53f4-4157-b700-49f8c7a2d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B75C3-7B7B-4363-AF28-D99729ED7812}">
  <ds:schemaRefs>
    <ds:schemaRef ds:uri="http://schemas.microsoft.com/sharepoint/v3/contenttype/forms"/>
  </ds:schemaRefs>
</ds:datastoreItem>
</file>

<file path=customXml/itemProps4.xml><?xml version="1.0" encoding="utf-8"?>
<ds:datastoreItem xmlns:ds="http://schemas.openxmlformats.org/officeDocument/2006/customXml" ds:itemID="{58416DFD-7AD3-41C6-ADEC-EB59CF3C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Sarah Ellis</cp:lastModifiedBy>
  <cp:revision>5</cp:revision>
  <cp:lastPrinted>2022-09-08T11:40:00Z</cp:lastPrinted>
  <dcterms:created xsi:type="dcterms:W3CDTF">2022-09-13T16:02:00Z</dcterms:created>
  <dcterms:modified xsi:type="dcterms:W3CDTF">2022-09-13T16:23:00Z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y fmtid="{D5CDD505-2E9C-101B-9397-08002B2CF9AE}" pid="5" name="ContentTypeId">
    <vt:lpwstr>0x0101000A919617CD1CCE4D828F7CB8F79F4999</vt:lpwstr>
  </property>
</Properties>
</file>